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：公司锅炉、碱炉抢修</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2.1水冷壁管、对流管、省煤器管、过热器管更换或焊补。</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2.2施工中浇注料的拆除及恢复，保温及外护板的拆除及恢复。</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2.3抢修过程中不可预见的缺陷处理。</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2.4抢修结束因施工质量导致停炉，施工方免费返修外还需赔偿招标方损失3000/元次。</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2.5中标方必须有24小时可联系上的业务联系人；接到任务通知后，抢修人员必须在12小时内到场服务。</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.合同履行期限</w:t>
      </w:r>
      <w:r>
        <w:rPr>
          <w:rFonts w:hint="eastAsia" w:ascii="Times New Roman" w:hAnsi="Times New Roman" w:eastAsia="宋体"/>
          <w:b/>
          <w:color w:val="auto"/>
          <w:sz w:val="24"/>
          <w:szCs w:val="24"/>
          <w:lang w:eastAsia="zh-CN"/>
        </w:rPr>
        <w:t>及项目地点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Ansi="宋体"/>
          <w:sz w:val="24"/>
        </w:rPr>
      </w:pPr>
      <w:r>
        <w:rPr>
          <w:rFonts w:hint="eastAsia" w:ascii="Times New Roman" w:hAnsi="Times New Roman" w:eastAsia="宋体"/>
          <w:b w:val="0"/>
          <w:bCs/>
          <w:color w:val="auto"/>
          <w:sz w:val="24"/>
          <w:szCs w:val="24"/>
          <w:lang w:val="en-US" w:eastAsia="zh-CN"/>
        </w:rPr>
        <w:t>3.1合同履行期限：自2023年10月01日至2024年9月30日，双方无异议自动延期1年。</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3.2项目地点：福建省三明市沙县区青州镇福建省青山纸业股份有限公司</w:t>
      </w:r>
      <w:r>
        <w:rPr>
          <w:color w:val="000000"/>
          <w:kern w:val="0"/>
          <w:sz w:val="24"/>
        </w:rPr>
        <w:t>指定生产区域内</w:t>
      </w:r>
      <w:r>
        <w:rPr>
          <w:rFonts w:hint="eastAsia" w:ascii="Times New Roman" w:hAnsi="Times New Roman" w:eastAsia="宋体"/>
          <w:b w:val="0"/>
          <w:bCs/>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4.1投标人应是具有独立法人资格、信用良好的国内企业。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4.2具备Ⅰ级特种设备（锅炉）安装改造修理许可证，有安全生产许可证。</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4.3本招标项目不接受联合体投标，并不得转包或分包。</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.付款方式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5.1</w:t>
      </w:r>
      <w:r>
        <w:rPr>
          <w:rFonts w:hint="eastAsia" w:ascii="Times New Roman" w:hAnsi="Times New Roman" w:eastAsia="宋体"/>
          <w:b w:val="0"/>
          <w:bCs/>
          <w:color w:val="auto"/>
          <w:sz w:val="24"/>
          <w:szCs w:val="24"/>
          <w:lang w:eastAsia="zh-CN"/>
        </w:rPr>
        <w:t>按实际工作量进行验收结算，每季度结算一次，招标方财务部收到全额发票45天支付结算款（银行承兑汇票），质保金为合同价的10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，在质保期满后三十天内付清。质保期为一年，质保金不计利息。人民币报价和结算，中标人须开具增值税专用发票。【</w:t>
      </w:r>
      <w:r>
        <w:rPr>
          <w:rFonts w:hint="eastAsia" w:ascii="Times New Roman" w:hAnsi="Times New Roman" w:eastAsia="宋体"/>
          <w:b/>
          <w:bCs w:val="0"/>
          <w:color w:val="auto"/>
          <w:sz w:val="24"/>
          <w:szCs w:val="24"/>
          <w:lang w:eastAsia="zh-CN"/>
        </w:rPr>
        <w:t>本付款方式不得偏离，否则投标将被否决</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5.2</w:t>
      </w:r>
      <w:r>
        <w:rPr>
          <w:rFonts w:hint="eastAsia" w:ascii="Times New Roman" w:hAnsi="Times New Roman" w:eastAsia="宋体"/>
          <w:b w:val="0"/>
          <w:bCs/>
          <w:color w:val="auto"/>
          <w:sz w:val="24"/>
          <w:szCs w:val="24"/>
          <w:lang w:eastAsia="zh-CN"/>
        </w:rPr>
        <w:t>发票条款：</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5</w:t>
      </w:r>
      <w:r>
        <w:rPr>
          <w:rFonts w:hint="eastAsia" w:ascii="Times New Roman" w:hAnsi="Times New Roman" w:eastAsia="宋体"/>
          <w:b w:val="0"/>
          <w:bCs/>
          <w:color w:val="auto"/>
          <w:sz w:val="24"/>
          <w:szCs w:val="24"/>
          <w:lang w:eastAsia="zh-CN"/>
        </w:rPr>
        <w:t>.2.1中标人须为招标人开具合法、有效、完整、准确的增值税专用发票。中标人提供增值税发票税率为【13%】。</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5</w:t>
      </w:r>
      <w:r>
        <w:rPr>
          <w:rFonts w:hint="eastAsia" w:ascii="Times New Roman" w:hAnsi="Times New Roman" w:eastAsia="宋体"/>
          <w:b w:val="0"/>
          <w:bCs/>
          <w:color w:val="auto"/>
          <w:sz w:val="24"/>
          <w:szCs w:val="24"/>
          <w:lang w:eastAsia="zh-CN"/>
        </w:rPr>
        <w:t>.2.2中标人承诺，如招标人或任何第三方（包括但不限于招标人财务部、审计部、政府税务机关、独立审计机构）在任何时候发现中标人开具的发票不符合要求或存在开具无效票据（如伪造、变造、虚开、作废等），中标人应在税务机关发现或招标人通知之日起5日内重新为招标人开具合法合规符合要求的增值税发票，并承担招标人由此所产生的全部损失（包括但不限于税款、滞纳金、行政处罚等）。如中标人因开具不符合要求的发票而受到有权机关处罚，该等处罚不能作为中标人减轻或免除按照上述约定应向招标人承担责任的理由。</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5</w:t>
      </w:r>
      <w:r>
        <w:rPr>
          <w:rFonts w:hint="eastAsia" w:ascii="Times New Roman" w:hAnsi="Times New Roman" w:eastAsia="宋体"/>
          <w:b w:val="0"/>
          <w:bCs/>
          <w:color w:val="auto"/>
          <w:sz w:val="24"/>
          <w:szCs w:val="24"/>
          <w:lang w:eastAsia="zh-CN"/>
        </w:rPr>
        <w:t>.2.3出现以上情形后，若中标人拒不提供或延期提供票据，则招标人有权拒付或延期支付剩余款项，同时中标人还应向招标人支付所提供不合规发票票面总额【30%】的违约金，如给招标人造成其他损失的，中标人应予赔偿。本款中招标人拒收发票，或招标人暂停支付款项等行为，不视为招标人违约，中标人不得以此为由中止履行合同约定的义务。中标人自愿放弃请求调整违约金的权利。</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5</w:t>
      </w:r>
      <w:r>
        <w:rPr>
          <w:rFonts w:hint="eastAsia" w:ascii="Times New Roman" w:hAnsi="Times New Roman" w:eastAsia="宋体"/>
          <w:b w:val="0"/>
          <w:bCs/>
          <w:color w:val="auto"/>
          <w:sz w:val="24"/>
          <w:szCs w:val="24"/>
          <w:lang w:eastAsia="zh-CN"/>
        </w:rPr>
        <w:t>.2.4招标人有权在应付中标人的任何款项中扣除中标人应向招标人支付的违约金及损失赔偿金等，若招标人从应付中标人的款项中扣除了违约金、损失赔偿额等款项的，中标人仍应按扣除前的含税合同金额开具增值税发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5</w:t>
      </w:r>
      <w:r>
        <w:rPr>
          <w:rFonts w:hint="eastAsia" w:ascii="Times New Roman" w:hAnsi="Times New Roman" w:eastAsia="宋体"/>
          <w:b w:val="0"/>
          <w:bCs/>
          <w:color w:val="auto"/>
          <w:sz w:val="24"/>
          <w:szCs w:val="24"/>
          <w:lang w:eastAsia="zh-CN"/>
        </w:rPr>
        <w:t>.2.5若中标人由一般纳税人身份变为小规模纳税人身份的，或计税方法、政策法规规范性文件发生变化的，并导致招标人可抵扣的进项税额减少或被税务机关要求补缴税款的，减少的进项税额或补缴的税款由中标人承担，招标人有权从应付中标人的款项中扣除。</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6.1在报价表中填写，详见附表《投标报价表（参考）》。</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6.2本次招标采取一次性报价方式。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6.3报价为含增值税专用发票到厂价，以一票制方式结算，投标报价时请注明发票税率，税率须招标方认同。</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7.1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7</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2"/>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rPr>
              <w:t>F=60-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10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6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①抢修业务范围：15分；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②抢修人员资质和工作能力：10分；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③拆除和安装方案、配套材料的优劣性：5分；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④招标方周边有服务基地：5分（有弯管机和操作人员、库存配套的管材、库存相应的浇注料）。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质保</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①关行业类似业绩：2分，2分/份合同（以五年内合同复印件为准），封顶2分；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②现场服务和质保承诺：3分，根据投标文件说明进行打分。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bCs w:val="0"/>
                <w:color w:val="auto"/>
                <w:kern w:val="0"/>
                <w:szCs w:val="21"/>
                <w:lang w:val="en-US" w:eastAsia="zh-CN"/>
              </w:rPr>
              <w:t>不得偏离，否则投标将被否决。</w:t>
            </w:r>
          </w:p>
        </w:tc>
      </w:tr>
    </w:tbl>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31</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w:t>
      </w:r>
      <w:r>
        <w:rPr>
          <w:rFonts w:ascii="Times New Roman" w:hAnsi="Times New Roman" w:eastAsia="宋体"/>
          <w:color w:val="auto"/>
          <w:sz w:val="24"/>
          <w:szCs w:val="24"/>
          <w:highlight w:val="none"/>
        </w:rPr>
        <w:t>楼招标办会议室公开开标。</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8</w:t>
      </w:r>
      <w:r>
        <w:rPr>
          <w:rFonts w:ascii="Times New Roman" w:hAnsi="Times New Roman" w:eastAsia="宋体"/>
          <w:color w:val="auto"/>
          <w:sz w:val="24"/>
          <w:szCs w:val="24"/>
          <w:highlight w:val="none"/>
        </w:rPr>
        <w:t>.2参与方式：</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以下三种参与方式投标人可任选一种</w:t>
      </w:r>
      <w:r>
        <w:rPr>
          <w:rFonts w:hint="eastAsia" w:ascii="Times New Roman" w:hAnsi="Times New Roman" w:eastAsia="宋体"/>
          <w:color w:val="auto"/>
          <w:sz w:val="24"/>
          <w:szCs w:val="24"/>
          <w:highlight w:val="none"/>
          <w:lang w:eastAsia="zh-CN"/>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8</w:t>
      </w:r>
      <w:r>
        <w:rPr>
          <w:rFonts w:hint="eastAsia" w:ascii="Times New Roman" w:hAnsi="Times New Roman" w:eastAsia="宋体"/>
          <w:color w:val="auto"/>
          <w:sz w:val="24"/>
          <w:szCs w:val="24"/>
          <w:highlight w:val="none"/>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8.2.3网络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3000</w:t>
      </w:r>
      <w:r>
        <w:rPr>
          <w:rFonts w:ascii="Times New Roman" w:hAnsi="Times New Roman" w:eastAsia="宋体"/>
          <w:color w:val="auto"/>
          <w:sz w:val="24"/>
          <w:szCs w:val="24"/>
          <w:highlight w:val="none"/>
        </w:rPr>
        <w:t>元。</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b/>
          <w:bCs/>
          <w:color w:val="FF0000"/>
          <w:sz w:val="24"/>
          <w:szCs w:val="24"/>
        </w:rPr>
        <w:t>汇款人须注明</w:t>
      </w:r>
      <w:r>
        <w:rPr>
          <w:rFonts w:hint="eastAsia" w:ascii="Times New Roman" w:hAnsi="Times New Roman" w:eastAsia="宋体"/>
          <w:b/>
          <w:bCs/>
          <w:color w:val="FF0000"/>
          <w:sz w:val="24"/>
          <w:szCs w:val="24"/>
        </w:rPr>
        <w:t>参与的招标编号</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（各类未到期的保证金除外）且数额足够抵扣投标保证金时，投标人可出具正式公函明确要求本公司从其</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w:t>
      </w:r>
      <w:r>
        <w:rPr>
          <w:rFonts w:hint="eastAsia" w:ascii="Times New Roman" w:hAnsi="Times New Roman" w:eastAsia="宋体"/>
          <w:color w:val="auto"/>
          <w:sz w:val="24"/>
          <w:szCs w:val="24"/>
          <w:u w:val="none"/>
          <w:lang w:eastAsia="zh-CN"/>
        </w:rPr>
        <w:t>格式见附件</w:t>
      </w:r>
      <w:r>
        <w:rPr>
          <w:rFonts w:hint="eastAsia" w:ascii="Times New Roman" w:hAnsi="Times New Roman" w:eastAsia="宋体"/>
          <w:color w:val="auto"/>
          <w:sz w:val="24"/>
          <w:szCs w:val="24"/>
          <w:u w:val="none"/>
          <w:lang w:val="en-US" w:eastAsia="zh-CN"/>
        </w:rPr>
        <w:t>2</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.4未中标的投标人的投标保证金，以电汇形式的将在一星期内退还；以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0</w:t>
      </w:r>
      <w:r>
        <w:rPr>
          <w:rFonts w:hint="eastAsia" w:ascii="Times New Roman" w:hAnsi="Times New Roman" w:eastAsia="宋体"/>
          <w:b/>
          <w:color w:val="auto"/>
          <w:sz w:val="24"/>
          <w:szCs w:val="24"/>
        </w:rPr>
        <w:t>.投标文件要求</w:t>
      </w:r>
      <w:r>
        <w:rPr>
          <w:rFonts w:hint="eastAsia" w:ascii="Times New Roman" w:hAnsi="Times New Roman" w:eastAsia="宋体"/>
          <w:b/>
          <w:bCs/>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10.1.1投标保证金凭证：银行电汇回单或投标保证金函。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技术方案、抢修人员资质和能力、</w:t>
      </w:r>
      <w:r>
        <w:rPr>
          <w:rFonts w:hint="eastAsia" w:ascii="Times New Roman" w:hAnsi="Times New Roman" w:eastAsia="宋体"/>
          <w:color w:val="auto"/>
          <w:sz w:val="24"/>
          <w:szCs w:val="24"/>
        </w:rPr>
        <w:t>设备材料说明一览表、</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w:t>
      </w:r>
      <w:r>
        <w:rPr>
          <w:rFonts w:hint="eastAsia" w:ascii="Times New Roman" w:hAnsi="Times New Roman" w:eastAsia="宋体"/>
          <w:color w:val="auto"/>
          <w:sz w:val="24"/>
          <w:szCs w:val="24"/>
          <w:lang w:eastAsia="zh-CN"/>
        </w:rPr>
        <w:t>以及技术评审打分项的其他证明材料</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b</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五年内相关行业类似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c</w:t>
      </w:r>
      <w:r>
        <w:rPr>
          <w:rFonts w:hint="eastAsia" w:ascii="Times New Roman" w:hAnsi="Times New Roman" w:eastAsia="宋体"/>
          <w:color w:val="auto"/>
          <w:sz w:val="24"/>
          <w:szCs w:val="24"/>
        </w:rPr>
        <w:t>.</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d</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w:t>
      </w:r>
      <w:r>
        <w:rPr>
          <w:rFonts w:hint="eastAsia" w:ascii="Times New Roman" w:hAnsi="Times New Roman" w:eastAsia="宋体"/>
          <w:b/>
          <w:bCs/>
          <w:color w:val="auto"/>
          <w:sz w:val="24"/>
          <w:szCs w:val="24"/>
        </w:rPr>
        <w:t>必须由法定代表人或被授权人签字或盖</w:t>
      </w:r>
      <w:r>
        <w:rPr>
          <w:rFonts w:hint="eastAsia" w:ascii="Times New Roman" w:hAnsi="Times New Roman" w:eastAsia="宋体"/>
          <w:b/>
          <w:bCs/>
          <w:color w:val="auto"/>
          <w:sz w:val="24"/>
          <w:szCs w:val="24"/>
          <w:lang w:eastAsia="zh-CN"/>
        </w:rPr>
        <w:t>个人</w:t>
      </w:r>
      <w:r>
        <w:rPr>
          <w:rFonts w:hint="eastAsia" w:ascii="Times New Roman" w:hAnsi="Times New Roman" w:eastAsia="宋体"/>
          <w:b/>
          <w:bCs/>
          <w:color w:val="auto"/>
          <w:sz w:val="24"/>
          <w:szCs w:val="24"/>
        </w:rPr>
        <w:t>章</w:t>
      </w:r>
      <w:r>
        <w:rPr>
          <w:rFonts w:hint="eastAsia" w:ascii="Times New Roman" w:hAnsi="Times New Roman" w:eastAsia="宋体"/>
          <w:color w:val="auto"/>
          <w:sz w:val="24"/>
          <w:szCs w:val="24"/>
        </w:rPr>
        <w:t>）；b.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13.</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设</w:t>
      </w:r>
      <w:r>
        <w:rPr>
          <w:rFonts w:hint="eastAsia" w:ascii="Times New Roman" w:hAnsi="Times New Roman" w:eastAsia="宋体"/>
          <w:color w:val="auto"/>
          <w:sz w:val="24"/>
          <w:szCs w:val="24"/>
          <w:lang w:val="en-US" w:eastAsia="zh-CN"/>
        </w:rPr>
        <w:t xml:space="preserve">  </w:t>
      </w:r>
      <w:r>
        <w:rPr>
          <w:rFonts w:hint="eastAsia" w:ascii="Times New Roman" w:hAnsi="Times New Roman" w:eastAsia="宋体"/>
          <w:color w:val="auto"/>
          <w:sz w:val="24"/>
          <w:szCs w:val="24"/>
          <w:lang w:eastAsia="zh-CN"/>
        </w:rPr>
        <w:t>备</w:t>
      </w:r>
      <w:r>
        <w:rPr>
          <w:rFonts w:hint="eastAsia" w:ascii="Times New Roman" w:hAnsi="Times New Roman" w:eastAsia="宋体"/>
          <w:color w:val="auto"/>
          <w:sz w:val="24"/>
          <w:szCs w:val="24"/>
          <w:lang w:val="en-US" w:eastAsia="zh-CN"/>
        </w:rPr>
        <w:t xml:space="preserve">  </w:t>
      </w:r>
      <w:r>
        <w:rPr>
          <w:rFonts w:hint="eastAsia" w:ascii="Times New Roman" w:hAnsi="Times New Roman" w:eastAsia="宋体"/>
          <w:color w:val="auto"/>
          <w:sz w:val="24"/>
          <w:szCs w:val="24"/>
          <w:lang w:eastAsia="zh-CN"/>
        </w:rPr>
        <w:t>部</w:t>
      </w:r>
      <w:r>
        <w:rPr>
          <w:rFonts w:hint="eastAsia" w:ascii="Times New Roman" w:hAnsi="Times New Roman" w:eastAsia="宋体"/>
          <w:color w:val="auto"/>
          <w:sz w:val="24"/>
          <w:szCs w:val="24"/>
        </w:rPr>
        <w:t>：陈初发0598-5658513</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技术联系人：郑海强15959834105、谢利斌13859136858、陈家和13507581608</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报价表</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参考</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投标保证金函</w:t>
      </w:r>
      <w:r>
        <w:rPr>
          <w:rFonts w:hint="eastAsia" w:ascii="Times New Roman" w:hAnsi="Times New Roman" w:eastAsia="宋体"/>
          <w:color w:val="auto"/>
          <w:sz w:val="24"/>
          <w:szCs w:val="24"/>
        </w:rPr>
        <w:t>（格式）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24</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olor w:val="auto"/>
          <w:sz w:val="24"/>
          <w:szCs w:val="24"/>
          <w:lang w:eastAsia="zh-CN"/>
        </w:rPr>
      </w:pPr>
    </w:p>
    <w:p>
      <w:pPr>
        <w:pStyle w:val="2"/>
        <w:rPr>
          <w:rFonts w:hint="eastAsia"/>
        </w:rPr>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pPr>
    </w:p>
    <w:p>
      <w:pPr>
        <w:keepNext w:val="0"/>
        <w:keepLines w:val="0"/>
        <w:pageBreakBefore w:val="0"/>
        <w:widowControl/>
        <w:kinsoku/>
        <w:wordWrap/>
        <w:overflowPunct/>
        <w:topLinePunct w:val="0"/>
        <w:autoSpaceDE/>
        <w:autoSpaceDN/>
        <w:bidi w:val="0"/>
        <w:adjustRightInd/>
        <w:snapToGrid/>
        <w:spacing w:line="480" w:lineRule="exact"/>
        <w:jc w:val="left"/>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eastAsia="zh-CN"/>
        </w:rPr>
        <w:t>附件</w:t>
      </w:r>
      <w:r>
        <w:rPr>
          <w:rFonts w:hint="eastAsia" w:ascii="Times New Roman" w:hAnsi="Times New Roman" w:eastAsia="宋体"/>
          <w:sz w:val="24"/>
          <w:szCs w:val="24"/>
          <w:lang w:val="en-US" w:eastAsia="zh-CN"/>
        </w:rPr>
        <w:t>1：（表格格式供参考）</w:t>
      </w:r>
    </w:p>
    <w:p>
      <w:pPr>
        <w:keepNext w:val="0"/>
        <w:keepLines w:val="0"/>
        <w:pageBreakBefore w:val="0"/>
        <w:widowControl/>
        <w:kinsoku/>
        <w:wordWrap/>
        <w:overflowPunct/>
        <w:topLinePunct w:val="0"/>
        <w:autoSpaceDE/>
        <w:autoSpaceDN/>
        <w:bidi w:val="0"/>
        <w:adjustRightInd/>
        <w:snapToGrid/>
        <w:spacing w:line="480" w:lineRule="exact"/>
        <w:jc w:val="center"/>
        <w:textAlignment w:val="auto"/>
        <w:outlineLvl w:val="9"/>
        <w:rPr>
          <w:rFonts w:ascii="Times New Roman" w:hAnsi="Times New Roman" w:eastAsia="宋体"/>
          <w:b/>
          <w:spacing w:val="20"/>
          <w:sz w:val="28"/>
          <w:szCs w:val="28"/>
        </w:rPr>
      </w:pPr>
      <w:r>
        <w:rPr>
          <w:rFonts w:hint="eastAsia" w:ascii="Times New Roman" w:hAnsi="Times New Roman" w:eastAsia="宋体"/>
          <w:b/>
          <w:spacing w:val="20"/>
          <w:sz w:val="28"/>
          <w:szCs w:val="28"/>
        </w:rPr>
        <w:t>投标报价表</w:t>
      </w:r>
    </w:p>
    <w:p>
      <w:pPr>
        <w:keepNext w:val="0"/>
        <w:keepLines w:val="0"/>
        <w:pageBreakBefore w:val="0"/>
        <w:widowControl/>
        <w:kinsoku/>
        <w:wordWrap/>
        <w:overflowPunct/>
        <w:topLinePunct w:val="0"/>
        <w:autoSpaceDE/>
        <w:autoSpaceDN/>
        <w:bidi w:val="0"/>
        <w:adjustRightInd/>
        <w:snapToGrid/>
        <w:spacing w:after="157" w:afterLines="50" w:line="480" w:lineRule="exact"/>
        <w:jc w:val="center"/>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eastAsia="zh-CN"/>
        </w:rPr>
        <w:t>（招标编号：</w:t>
      </w:r>
      <w:r>
        <w:rPr>
          <w:rFonts w:hint="eastAsia" w:ascii="Times New Roman" w:hAnsi="Times New Roman" w:eastAsia="宋体"/>
          <w:sz w:val="24"/>
          <w:szCs w:val="24"/>
          <w:lang w:val="en-US" w:eastAsia="zh-CN"/>
        </w:rPr>
        <w:t>2023SB186）</w:t>
      </w:r>
    </w:p>
    <w:tbl>
      <w:tblPr>
        <w:tblStyle w:val="12"/>
        <w:tblW w:w="8934" w:type="dxa"/>
        <w:jc w:val="center"/>
        <w:tblInd w:w="-4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3"/>
        <w:gridCol w:w="1185"/>
        <w:gridCol w:w="1140"/>
        <w:gridCol w:w="1545"/>
        <w:gridCol w:w="1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683"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b/>
                <w:sz w:val="21"/>
                <w:szCs w:val="21"/>
              </w:rPr>
            </w:pPr>
            <w:r>
              <w:rPr>
                <w:rFonts w:hint="eastAsia" w:ascii="Times New Roman" w:hAnsi="Times New Roman" w:eastAsia="宋体" w:cs="宋体"/>
                <w:b/>
                <w:sz w:val="21"/>
                <w:szCs w:val="21"/>
              </w:rPr>
              <w:t>项目名称</w:t>
            </w:r>
          </w:p>
        </w:tc>
        <w:tc>
          <w:tcPr>
            <w:tcW w:w="1185"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b/>
                <w:sz w:val="21"/>
                <w:szCs w:val="21"/>
                <w:lang w:eastAsia="zh-CN"/>
              </w:rPr>
            </w:pPr>
            <w:r>
              <w:rPr>
                <w:rFonts w:hint="eastAsia" w:ascii="Times New Roman" w:hAnsi="Times New Roman" w:eastAsia="宋体" w:cs="宋体"/>
                <w:b/>
                <w:sz w:val="21"/>
                <w:szCs w:val="21"/>
              </w:rPr>
              <w:t>单根</w:t>
            </w:r>
            <w:r>
              <w:rPr>
                <w:rFonts w:hint="eastAsia" w:ascii="Times New Roman" w:hAnsi="Times New Roman" w:eastAsia="宋体" w:cs="宋体"/>
                <w:b/>
                <w:sz w:val="21"/>
                <w:szCs w:val="21"/>
                <w:lang w:val="en-US" w:eastAsia="zh-CN"/>
              </w:rPr>
              <w:t>(</w:t>
            </w:r>
            <w:r>
              <w:rPr>
                <w:rFonts w:hint="eastAsia" w:ascii="Times New Roman" w:hAnsi="Times New Roman" w:eastAsia="宋体" w:cs="宋体"/>
                <w:b/>
                <w:sz w:val="21"/>
                <w:szCs w:val="21"/>
              </w:rPr>
              <w:t>元</w:t>
            </w:r>
            <w:r>
              <w:rPr>
                <w:rFonts w:hint="eastAsia" w:ascii="Times New Roman" w:hAnsi="Times New Roman" w:eastAsia="宋体" w:cs="宋体"/>
                <w:b/>
                <w:sz w:val="21"/>
                <w:szCs w:val="21"/>
                <w:lang w:val="en-US" w:eastAsia="zh-CN"/>
              </w:rPr>
              <w:t>)</w:t>
            </w:r>
          </w:p>
        </w:tc>
        <w:tc>
          <w:tcPr>
            <w:tcW w:w="1140"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b/>
                <w:sz w:val="21"/>
                <w:szCs w:val="21"/>
              </w:rPr>
            </w:pPr>
            <w:r>
              <w:rPr>
                <w:rFonts w:hint="eastAsia" w:ascii="Times New Roman" w:hAnsi="Times New Roman" w:eastAsia="宋体" w:cs="宋体"/>
                <w:b/>
                <w:sz w:val="21"/>
                <w:szCs w:val="21"/>
              </w:rPr>
              <w:t>两根系数</w:t>
            </w:r>
          </w:p>
        </w:tc>
        <w:tc>
          <w:tcPr>
            <w:tcW w:w="1545"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b/>
                <w:sz w:val="21"/>
                <w:szCs w:val="21"/>
              </w:rPr>
            </w:pPr>
            <w:r>
              <w:rPr>
                <w:rFonts w:hint="eastAsia" w:ascii="Times New Roman" w:hAnsi="Times New Roman" w:eastAsia="宋体" w:cs="宋体"/>
                <w:b/>
                <w:sz w:val="21"/>
                <w:szCs w:val="21"/>
              </w:rPr>
              <w:t>三根以上系数</w:t>
            </w:r>
          </w:p>
        </w:tc>
        <w:tc>
          <w:tcPr>
            <w:tcW w:w="1381"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b/>
                <w:sz w:val="21"/>
                <w:szCs w:val="21"/>
              </w:rPr>
            </w:pPr>
            <w:r>
              <w:rPr>
                <w:rFonts w:hint="eastAsia" w:ascii="Times New Roman" w:hAnsi="Times New Roman" w:eastAsia="宋体" w:cs="宋体"/>
                <w:b/>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683"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sz w:val="21"/>
                <w:szCs w:val="21"/>
              </w:rPr>
            </w:pPr>
            <w:r>
              <w:rPr>
                <w:rFonts w:hint="eastAsia" w:ascii="Times New Roman" w:hAnsi="Times New Roman" w:eastAsia="宋体" w:cs="宋体"/>
                <w:sz w:val="21"/>
                <w:szCs w:val="21"/>
              </w:rPr>
              <w:t>水冷壁管更换</w:t>
            </w:r>
          </w:p>
        </w:tc>
        <w:tc>
          <w:tcPr>
            <w:tcW w:w="118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140"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54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381"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炉内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683"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sz w:val="21"/>
                <w:szCs w:val="21"/>
              </w:rPr>
            </w:pPr>
            <w:r>
              <w:rPr>
                <w:rFonts w:hint="eastAsia" w:ascii="Times New Roman" w:hAnsi="Times New Roman" w:eastAsia="宋体" w:cs="宋体"/>
                <w:sz w:val="21"/>
                <w:szCs w:val="21"/>
              </w:rPr>
              <w:t>对流管更换</w:t>
            </w:r>
          </w:p>
        </w:tc>
        <w:tc>
          <w:tcPr>
            <w:tcW w:w="118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140"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54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381"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炉内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683"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sz w:val="21"/>
                <w:szCs w:val="21"/>
              </w:rPr>
            </w:pPr>
            <w:r>
              <w:rPr>
                <w:rFonts w:hint="eastAsia" w:ascii="Times New Roman" w:hAnsi="Times New Roman" w:eastAsia="宋体" w:cs="宋体"/>
                <w:sz w:val="21"/>
                <w:szCs w:val="21"/>
              </w:rPr>
              <w:t>省煤器管更换</w:t>
            </w:r>
          </w:p>
        </w:tc>
        <w:tc>
          <w:tcPr>
            <w:tcW w:w="118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140"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54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381"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炉内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683"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sz w:val="21"/>
                <w:szCs w:val="21"/>
              </w:rPr>
            </w:pPr>
            <w:r>
              <w:rPr>
                <w:rFonts w:hint="eastAsia" w:ascii="Times New Roman" w:hAnsi="Times New Roman" w:eastAsia="宋体" w:cs="宋体"/>
                <w:sz w:val="21"/>
                <w:szCs w:val="21"/>
              </w:rPr>
              <w:t>过热器管更换</w:t>
            </w:r>
          </w:p>
        </w:tc>
        <w:tc>
          <w:tcPr>
            <w:tcW w:w="118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140"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54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381"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炉内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683"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sz w:val="21"/>
                <w:szCs w:val="21"/>
              </w:rPr>
            </w:pPr>
            <w:r>
              <w:rPr>
                <w:rFonts w:hint="eastAsia" w:ascii="Times New Roman" w:hAnsi="Times New Roman" w:eastAsia="宋体" w:cs="宋体"/>
                <w:sz w:val="21"/>
                <w:szCs w:val="21"/>
              </w:rPr>
              <w:t>以上管束补焊</w:t>
            </w:r>
          </w:p>
        </w:tc>
        <w:tc>
          <w:tcPr>
            <w:tcW w:w="118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140"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54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381"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炉内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683"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sz w:val="21"/>
                <w:szCs w:val="21"/>
              </w:rPr>
            </w:pPr>
            <w:r>
              <w:rPr>
                <w:rFonts w:hint="eastAsia" w:ascii="Times New Roman" w:hAnsi="Times New Roman" w:eastAsia="宋体" w:cs="宋体"/>
                <w:sz w:val="21"/>
                <w:szCs w:val="21"/>
              </w:rPr>
              <w:t>压力管道≤Φ80mm更换</w:t>
            </w:r>
          </w:p>
        </w:tc>
        <w:tc>
          <w:tcPr>
            <w:tcW w:w="118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140"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54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381"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碳钢炉外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683"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sz w:val="21"/>
                <w:szCs w:val="21"/>
              </w:rPr>
            </w:pPr>
            <w:r>
              <w:rPr>
                <w:rFonts w:hint="eastAsia" w:ascii="Times New Roman" w:hAnsi="Times New Roman" w:eastAsia="宋体" w:cs="宋体"/>
                <w:sz w:val="21"/>
                <w:szCs w:val="21"/>
              </w:rPr>
              <w:t>压力管道≤Φ80mm更换</w:t>
            </w:r>
          </w:p>
        </w:tc>
        <w:tc>
          <w:tcPr>
            <w:tcW w:w="118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140"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54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381"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合金钢炉外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683"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sz w:val="21"/>
                <w:szCs w:val="21"/>
              </w:rPr>
            </w:pPr>
            <w:r>
              <w:rPr>
                <w:rFonts w:hint="eastAsia" w:ascii="Times New Roman" w:hAnsi="Times New Roman" w:eastAsia="宋体" w:cs="宋体"/>
                <w:sz w:val="21"/>
                <w:szCs w:val="21"/>
              </w:rPr>
              <w:t>Φ80mm＜压力管道≤Φ300mm更换</w:t>
            </w:r>
          </w:p>
        </w:tc>
        <w:tc>
          <w:tcPr>
            <w:tcW w:w="118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140"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54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381"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碳钢炉外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683"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sz w:val="21"/>
                <w:szCs w:val="21"/>
              </w:rPr>
            </w:pPr>
            <w:r>
              <w:rPr>
                <w:rFonts w:hint="eastAsia" w:ascii="Times New Roman" w:hAnsi="Times New Roman" w:eastAsia="宋体" w:cs="宋体"/>
                <w:sz w:val="21"/>
                <w:szCs w:val="21"/>
              </w:rPr>
              <w:t>Φ80mm＜压力管道≤Φ300mm更换</w:t>
            </w:r>
          </w:p>
        </w:tc>
        <w:tc>
          <w:tcPr>
            <w:tcW w:w="118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140"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54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381"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合金钢炉外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683"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sz w:val="21"/>
                <w:szCs w:val="21"/>
              </w:rPr>
            </w:pPr>
            <w:r>
              <w:rPr>
                <w:rFonts w:hint="eastAsia" w:ascii="Times New Roman" w:hAnsi="Times New Roman" w:eastAsia="宋体" w:cs="宋体"/>
                <w:sz w:val="21"/>
                <w:szCs w:val="21"/>
              </w:rPr>
              <w:t>压力管道≤Φ300mm补焊</w:t>
            </w:r>
          </w:p>
        </w:tc>
        <w:tc>
          <w:tcPr>
            <w:tcW w:w="118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140"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54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381"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碳钢炉外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683"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sz w:val="21"/>
                <w:szCs w:val="21"/>
              </w:rPr>
            </w:pPr>
            <w:r>
              <w:rPr>
                <w:rFonts w:hint="eastAsia" w:ascii="Times New Roman" w:hAnsi="Times New Roman" w:eastAsia="宋体" w:cs="宋体"/>
                <w:sz w:val="21"/>
                <w:szCs w:val="21"/>
              </w:rPr>
              <w:t>压力管道≤Φ300mm补焊</w:t>
            </w:r>
          </w:p>
        </w:tc>
        <w:tc>
          <w:tcPr>
            <w:tcW w:w="118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140"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545"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c>
          <w:tcPr>
            <w:tcW w:w="1381" w:type="dxa"/>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合金钢炉外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8934" w:type="dxa"/>
            <w:gridSpan w:val="5"/>
            <w:vAlign w:val="center"/>
          </w:tcPr>
          <w:p>
            <w:pPr>
              <w:keepNext w:val="0"/>
              <w:keepLines w:val="0"/>
              <w:pageBreakBefore w:val="0"/>
              <w:widowControl/>
              <w:kinsoku/>
              <w:wordWrap/>
              <w:overflowPunct/>
              <w:topLinePunct w:val="0"/>
              <w:autoSpaceDE/>
              <w:autoSpaceDN/>
              <w:bidi w:val="0"/>
              <w:ind w:right="0" w:rightChars="0"/>
              <w:jc w:val="left"/>
              <w:textAlignment w:val="auto"/>
              <w:outlineLvl w:val="9"/>
              <w:rPr>
                <w:rFonts w:hint="eastAsia" w:ascii="Times New Roman" w:hAnsi="Times New Roman" w:eastAsia="宋体" w:cs="宋体"/>
                <w:kern w:val="0"/>
                <w:sz w:val="21"/>
                <w:szCs w:val="21"/>
              </w:rPr>
            </w:pPr>
            <w:r>
              <w:rPr>
                <w:rFonts w:hint="eastAsia" w:ascii="Times New Roman" w:hAnsi="Times New Roman" w:eastAsia="宋体" w:cs="宋体"/>
                <w:b/>
                <w:bCs/>
                <w:kern w:val="0"/>
                <w:sz w:val="21"/>
                <w:szCs w:val="21"/>
              </w:rPr>
              <w:t>以上价格含检验费用（射线探伤、超声波探伤、渗透探伤、磁粉探伤）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683"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sz w:val="21"/>
                <w:szCs w:val="21"/>
              </w:rPr>
            </w:pPr>
            <w:r>
              <w:rPr>
                <w:rFonts w:hint="eastAsia" w:ascii="Times New Roman" w:hAnsi="Times New Roman" w:eastAsia="宋体" w:cs="宋体"/>
                <w:sz w:val="21"/>
                <w:szCs w:val="21"/>
              </w:rPr>
              <w:t>保温拆除及恢复（元/平方</w:t>
            </w:r>
            <w:r>
              <w:rPr>
                <w:rFonts w:hint="eastAsia" w:ascii="Times New Roman" w:hAnsi="Times New Roman" w:eastAsia="宋体" w:cs="宋体"/>
                <w:sz w:val="21"/>
                <w:szCs w:val="21"/>
                <w:lang w:eastAsia="zh-CN"/>
              </w:rPr>
              <w:t>米</w:t>
            </w:r>
            <w:r>
              <w:rPr>
                <w:rFonts w:hint="eastAsia" w:ascii="Times New Roman" w:hAnsi="Times New Roman" w:eastAsia="宋体" w:cs="宋体"/>
                <w:sz w:val="21"/>
                <w:szCs w:val="21"/>
              </w:rPr>
              <w:t>）</w:t>
            </w:r>
          </w:p>
        </w:tc>
        <w:tc>
          <w:tcPr>
            <w:tcW w:w="2325" w:type="dxa"/>
            <w:gridSpan w:val="2"/>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sz w:val="21"/>
                <w:szCs w:val="21"/>
              </w:rPr>
            </w:pPr>
          </w:p>
        </w:tc>
        <w:tc>
          <w:tcPr>
            <w:tcW w:w="2926" w:type="dxa"/>
            <w:gridSpan w:val="2"/>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683"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sz w:val="21"/>
                <w:szCs w:val="21"/>
              </w:rPr>
            </w:pPr>
            <w:r>
              <w:rPr>
                <w:rFonts w:hint="eastAsia" w:ascii="Times New Roman" w:hAnsi="Times New Roman" w:eastAsia="宋体" w:cs="宋体"/>
                <w:sz w:val="21"/>
                <w:szCs w:val="21"/>
              </w:rPr>
              <w:t>浇注料（元/吨）</w:t>
            </w:r>
          </w:p>
        </w:tc>
        <w:tc>
          <w:tcPr>
            <w:tcW w:w="2325" w:type="dxa"/>
            <w:gridSpan w:val="2"/>
            <w:vAlign w:val="center"/>
          </w:tcPr>
          <w:p>
            <w:pPr>
              <w:keepNext w:val="0"/>
              <w:keepLines w:val="0"/>
              <w:pageBreakBefore w:val="0"/>
              <w:kinsoku/>
              <w:wordWrap/>
              <w:overflowPunct/>
              <w:topLinePunct w:val="0"/>
              <w:autoSpaceDE/>
              <w:autoSpaceDN/>
              <w:bidi w:val="0"/>
              <w:adjustRightInd w:val="0"/>
              <w:snapToGrid w:val="0"/>
              <w:ind w:left="-107" w:leftChars="-51" w:right="0" w:rightChars="0"/>
              <w:jc w:val="center"/>
              <w:textAlignment w:val="auto"/>
              <w:outlineLvl w:val="9"/>
              <w:rPr>
                <w:rFonts w:hint="eastAsia" w:ascii="Times New Roman" w:hAnsi="Times New Roman" w:eastAsia="宋体" w:cs="宋体"/>
                <w:sz w:val="21"/>
                <w:szCs w:val="21"/>
              </w:rPr>
            </w:pPr>
          </w:p>
        </w:tc>
        <w:tc>
          <w:tcPr>
            <w:tcW w:w="2926" w:type="dxa"/>
            <w:gridSpan w:val="2"/>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kern w:val="0"/>
                <w:sz w:val="21"/>
                <w:szCs w:val="21"/>
              </w:rPr>
            </w:pPr>
            <w:r>
              <w:rPr>
                <w:rFonts w:hint="eastAsia" w:ascii="Times New Roman" w:hAnsi="Times New Roman" w:eastAsia="宋体" w:cs="宋体"/>
                <w:sz w:val="21"/>
                <w:szCs w:val="21"/>
              </w:rPr>
              <w:t>t/m</w:t>
            </w:r>
            <w:r>
              <w:rPr>
                <w:rFonts w:hint="eastAsia" w:ascii="Times New Roman" w:hAnsi="Times New Roman" w:eastAsia="宋体" w:cs="宋体"/>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683" w:type="dxa"/>
            <w:vAlign w:val="center"/>
          </w:tcPr>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sz w:val="21"/>
                <w:szCs w:val="21"/>
              </w:rPr>
            </w:pPr>
            <w:r>
              <w:rPr>
                <w:rFonts w:hint="eastAsia" w:ascii="Times New Roman" w:hAnsi="Times New Roman" w:eastAsia="宋体" w:cs="宋体"/>
                <w:sz w:val="21"/>
                <w:szCs w:val="21"/>
              </w:rPr>
              <w:t>碱炉用铬矿砂（元/吨）</w:t>
            </w:r>
          </w:p>
          <w:p>
            <w:pPr>
              <w:keepNext w:val="0"/>
              <w:keepLines w:val="0"/>
              <w:pageBreakBefore w:val="0"/>
              <w:kinsoku/>
              <w:wordWrap/>
              <w:overflowPunct/>
              <w:topLinePunct w:val="0"/>
              <w:autoSpaceDE/>
              <w:autoSpaceDN/>
              <w:bidi w:val="0"/>
              <w:adjustRightInd w:val="0"/>
              <w:snapToGrid w:val="0"/>
              <w:ind w:right="0" w:rightChars="0"/>
              <w:jc w:val="center"/>
              <w:textAlignment w:val="auto"/>
              <w:outlineLvl w:val="9"/>
              <w:rPr>
                <w:rFonts w:hint="eastAsia" w:ascii="Times New Roman" w:hAnsi="Times New Roman" w:eastAsia="宋体" w:cs="宋体"/>
                <w:sz w:val="21"/>
                <w:szCs w:val="21"/>
              </w:rPr>
            </w:pPr>
            <w:r>
              <w:rPr>
                <w:rFonts w:hint="eastAsia" w:ascii="Times New Roman" w:hAnsi="Times New Roman" w:eastAsia="宋体" w:cs="宋体"/>
                <w:sz w:val="21"/>
                <w:szCs w:val="21"/>
              </w:rPr>
              <w:t>（铬质捣打料）</w:t>
            </w:r>
          </w:p>
        </w:tc>
        <w:tc>
          <w:tcPr>
            <w:tcW w:w="2325" w:type="dxa"/>
            <w:gridSpan w:val="2"/>
            <w:vAlign w:val="center"/>
          </w:tcPr>
          <w:p>
            <w:pPr>
              <w:keepNext w:val="0"/>
              <w:keepLines w:val="0"/>
              <w:pageBreakBefore w:val="0"/>
              <w:kinsoku/>
              <w:wordWrap/>
              <w:overflowPunct/>
              <w:topLinePunct w:val="0"/>
              <w:autoSpaceDE/>
              <w:autoSpaceDN/>
              <w:bidi w:val="0"/>
              <w:adjustRightInd w:val="0"/>
              <w:snapToGrid w:val="0"/>
              <w:ind w:left="-107" w:leftChars="-51" w:right="0" w:rightChars="0"/>
              <w:jc w:val="center"/>
              <w:textAlignment w:val="auto"/>
              <w:outlineLvl w:val="9"/>
              <w:rPr>
                <w:rFonts w:hint="eastAsia" w:ascii="Times New Roman" w:hAnsi="Times New Roman" w:eastAsia="宋体" w:cs="宋体"/>
                <w:sz w:val="21"/>
                <w:szCs w:val="21"/>
              </w:rPr>
            </w:pPr>
          </w:p>
        </w:tc>
        <w:tc>
          <w:tcPr>
            <w:tcW w:w="2926" w:type="dxa"/>
            <w:gridSpan w:val="2"/>
            <w:vAlign w:val="center"/>
          </w:tcPr>
          <w:p>
            <w:pPr>
              <w:keepNext w:val="0"/>
              <w:keepLines w:val="0"/>
              <w:pageBreakBefore w:val="0"/>
              <w:widowControl/>
              <w:kinsoku/>
              <w:wordWrap/>
              <w:overflowPunct/>
              <w:topLinePunct w:val="0"/>
              <w:autoSpaceDE/>
              <w:autoSpaceDN/>
              <w:bidi w:val="0"/>
              <w:ind w:right="0" w:rightChars="0"/>
              <w:jc w:val="center"/>
              <w:textAlignment w:val="auto"/>
              <w:outlineLvl w:val="9"/>
              <w:rPr>
                <w:rFonts w:hint="eastAsia" w:ascii="Times New Roman" w:hAnsi="Times New Roman" w:eastAsia="宋体" w:cs="宋体"/>
                <w:sz w:val="21"/>
                <w:szCs w:val="21"/>
              </w:rPr>
            </w:pPr>
            <w:r>
              <w:rPr>
                <w:rFonts w:hint="eastAsia" w:ascii="Times New Roman" w:hAnsi="Times New Roman" w:eastAsia="宋体" w:cs="宋体"/>
                <w:sz w:val="21"/>
                <w:szCs w:val="21"/>
              </w:rPr>
              <w:t>t/m</w:t>
            </w:r>
            <w:r>
              <w:rPr>
                <w:rFonts w:hint="eastAsia" w:ascii="Times New Roman" w:hAnsi="Times New Roman" w:eastAsia="宋体" w:cs="宋体"/>
                <w:sz w:val="21"/>
                <w:szCs w:val="21"/>
                <w:vertAlign w:val="superscript"/>
              </w:rPr>
              <w:t>3</w:t>
            </w:r>
          </w:p>
        </w:tc>
      </w:tr>
    </w:tbl>
    <w:p>
      <w:pPr>
        <w:widowControl/>
        <w:spacing w:line="240" w:lineRule="auto"/>
        <w:jc w:val="left"/>
        <w:rPr>
          <w:rFonts w:ascii="Times New Roman" w:hAnsi="Times New Roman" w:eastAsia="宋体"/>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960" w:firstLineChars="400"/>
        <w:jc w:val="left"/>
        <w:textAlignment w:val="auto"/>
        <w:outlineLvl w:val="9"/>
        <w:rPr>
          <w:rFonts w:ascii="Times New Roman" w:hAnsi="Times New Roman" w:eastAsia="宋体"/>
          <w:sz w:val="24"/>
          <w:szCs w:val="24"/>
        </w:rPr>
      </w:pPr>
      <w:r>
        <w:rPr>
          <w:rFonts w:hint="eastAsia" w:ascii="Times New Roman" w:hAnsi="Times New Roman" w:eastAsia="宋体"/>
          <w:sz w:val="24"/>
          <w:szCs w:val="24"/>
        </w:rPr>
        <w:t>投标人：</w:t>
      </w:r>
    </w:p>
    <w:p>
      <w:pPr>
        <w:keepNext w:val="0"/>
        <w:keepLines w:val="0"/>
        <w:pageBreakBefore w:val="0"/>
        <w:widowControl/>
        <w:kinsoku/>
        <w:wordWrap/>
        <w:overflowPunct/>
        <w:topLinePunct w:val="0"/>
        <w:autoSpaceDE/>
        <w:autoSpaceDN/>
        <w:bidi w:val="0"/>
        <w:adjustRightInd/>
        <w:snapToGrid/>
        <w:spacing w:line="400" w:lineRule="exact"/>
        <w:ind w:firstLine="960" w:firstLineChars="400"/>
        <w:jc w:val="left"/>
        <w:textAlignment w:val="auto"/>
        <w:outlineLvl w:val="9"/>
        <w:rPr>
          <w:rFonts w:ascii="Times New Roman" w:hAnsi="Times New Roman" w:eastAsia="宋体"/>
          <w:sz w:val="24"/>
          <w:szCs w:val="24"/>
        </w:rPr>
      </w:pPr>
      <w:r>
        <w:rPr>
          <w:rFonts w:hint="eastAsia" w:ascii="Times New Roman" w:hAnsi="Times New Roman" w:eastAsia="宋体"/>
          <w:sz w:val="24"/>
          <w:szCs w:val="24"/>
        </w:rPr>
        <w:t>（</w:t>
      </w:r>
      <w:r>
        <w:rPr>
          <w:rFonts w:hint="eastAsia" w:ascii="Times New Roman" w:hAnsi="Times New Roman" w:eastAsia="宋体"/>
          <w:sz w:val="24"/>
          <w:szCs w:val="24"/>
          <w:lang w:eastAsia="zh-CN"/>
        </w:rPr>
        <w:t>单位</w:t>
      </w:r>
      <w:r>
        <w:rPr>
          <w:rFonts w:hint="eastAsia" w:ascii="Times New Roman" w:hAnsi="Times New Roman" w:eastAsia="宋体"/>
          <w:sz w:val="24"/>
          <w:szCs w:val="24"/>
        </w:rPr>
        <w:t>盖章）</w:t>
      </w:r>
    </w:p>
    <w:p>
      <w:pPr>
        <w:keepNext w:val="0"/>
        <w:keepLines w:val="0"/>
        <w:pageBreakBefore w:val="0"/>
        <w:widowControl/>
        <w:kinsoku/>
        <w:wordWrap/>
        <w:overflowPunct/>
        <w:topLinePunct w:val="0"/>
        <w:autoSpaceDE/>
        <w:autoSpaceDN/>
        <w:bidi w:val="0"/>
        <w:adjustRightInd/>
        <w:snapToGrid/>
        <w:spacing w:line="240" w:lineRule="auto"/>
        <w:ind w:firstLine="960" w:firstLineChars="400"/>
        <w:jc w:val="left"/>
        <w:textAlignment w:val="auto"/>
        <w:outlineLvl w:val="9"/>
        <w:rPr>
          <w:rFonts w:ascii="Times New Roman" w:hAnsi="Times New Roman" w:eastAsia="宋体"/>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960" w:firstLineChars="400"/>
        <w:jc w:val="left"/>
        <w:textAlignment w:val="auto"/>
        <w:outlineLvl w:val="9"/>
        <w:rPr>
          <w:rFonts w:ascii="Times New Roman" w:hAnsi="Times New Roman" w:eastAsia="宋体"/>
          <w:sz w:val="24"/>
          <w:szCs w:val="24"/>
        </w:rPr>
      </w:pPr>
      <w:r>
        <w:rPr>
          <w:rFonts w:hint="eastAsia" w:ascii="Times New Roman" w:hAnsi="Times New Roman" w:eastAsia="宋体"/>
          <w:sz w:val="24"/>
          <w:szCs w:val="24"/>
        </w:rPr>
        <w:t>法定代表人或被授权人：</w:t>
      </w:r>
    </w:p>
    <w:p>
      <w:pPr>
        <w:keepNext w:val="0"/>
        <w:keepLines w:val="0"/>
        <w:pageBreakBefore w:val="0"/>
        <w:widowControl/>
        <w:kinsoku/>
        <w:wordWrap/>
        <w:overflowPunct/>
        <w:topLinePunct w:val="0"/>
        <w:autoSpaceDE/>
        <w:autoSpaceDN/>
        <w:bidi w:val="0"/>
        <w:adjustRightInd/>
        <w:snapToGrid/>
        <w:spacing w:line="400" w:lineRule="exact"/>
        <w:ind w:firstLine="960" w:firstLineChars="400"/>
        <w:jc w:val="left"/>
        <w:textAlignment w:val="auto"/>
        <w:outlineLvl w:val="9"/>
        <w:rPr>
          <w:rFonts w:ascii="Times New Roman" w:hAnsi="Times New Roman" w:eastAsia="宋体"/>
          <w:sz w:val="24"/>
          <w:szCs w:val="24"/>
        </w:rPr>
      </w:pPr>
      <w:r>
        <w:rPr>
          <w:rFonts w:hint="eastAsia" w:ascii="Times New Roman" w:hAnsi="Times New Roman" w:eastAsia="宋体"/>
          <w:sz w:val="24"/>
          <w:szCs w:val="24"/>
        </w:rPr>
        <w:t>（签字</w:t>
      </w:r>
      <w:r>
        <w:rPr>
          <w:rFonts w:hint="eastAsia" w:ascii="Times New Roman" w:hAnsi="Times New Roman" w:eastAsia="宋体"/>
          <w:sz w:val="24"/>
          <w:szCs w:val="24"/>
          <w:lang w:eastAsia="zh-CN"/>
        </w:rPr>
        <w:t>或盖个人章</w:t>
      </w:r>
      <w:r>
        <w:rPr>
          <w:rFonts w:hint="eastAsia" w:ascii="Times New Roman" w:hAnsi="Times New Roman" w:eastAsia="宋体"/>
          <w:sz w:val="24"/>
          <w:szCs w:val="24"/>
        </w:rPr>
        <w:t>）</w:t>
      </w:r>
    </w:p>
    <w:p>
      <w:pPr>
        <w:keepNext w:val="0"/>
        <w:keepLines w:val="0"/>
        <w:pageBreakBefore w:val="0"/>
        <w:widowControl/>
        <w:kinsoku/>
        <w:wordWrap/>
        <w:overflowPunct/>
        <w:topLinePunct w:val="0"/>
        <w:autoSpaceDE/>
        <w:autoSpaceDN/>
        <w:bidi w:val="0"/>
        <w:adjustRightInd/>
        <w:snapToGrid/>
        <w:spacing w:line="240" w:lineRule="auto"/>
        <w:ind w:firstLine="960" w:firstLineChars="400"/>
        <w:jc w:val="left"/>
        <w:textAlignment w:val="auto"/>
        <w:outlineLvl w:val="9"/>
        <w:rPr>
          <w:rFonts w:ascii="Times New Roman" w:hAnsi="Times New Roman" w:eastAsia="宋体"/>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960" w:firstLineChars="400"/>
        <w:jc w:val="left"/>
        <w:textAlignment w:val="auto"/>
        <w:outlineLvl w:val="9"/>
        <w:rPr>
          <w:rFonts w:ascii="Times New Roman" w:hAnsi="Times New Roman" w:eastAsia="宋体"/>
          <w:sz w:val="24"/>
          <w:szCs w:val="24"/>
        </w:rPr>
      </w:pPr>
      <w:r>
        <w:rPr>
          <w:rFonts w:hint="eastAsia" w:ascii="Times New Roman" w:hAnsi="Times New Roman" w:eastAsia="宋体"/>
          <w:sz w:val="24"/>
          <w:szCs w:val="24"/>
        </w:rPr>
        <w:t>时间：</w:t>
      </w:r>
      <w:r>
        <w:rPr>
          <w:rFonts w:ascii="Times New Roman" w:hAnsi="Times New Roman" w:eastAsia="宋体"/>
          <w:sz w:val="24"/>
          <w:szCs w:val="24"/>
        </w:rPr>
        <w:t xml:space="preserve">   </w:t>
      </w:r>
      <w:r>
        <w:rPr>
          <w:rFonts w:hint="eastAsia" w:ascii="Times New Roman" w:hAnsi="Times New Roman" w:eastAsia="宋体"/>
          <w:sz w:val="24"/>
          <w:szCs w:val="24"/>
        </w:rPr>
        <w:t xml:space="preserve"> </w:t>
      </w:r>
      <w:r>
        <w:rPr>
          <w:rFonts w:ascii="Times New Roman" w:hAnsi="Times New Roman" w:eastAsia="宋体"/>
          <w:sz w:val="24"/>
          <w:szCs w:val="24"/>
        </w:rPr>
        <w:t xml:space="preserve">年 </w:t>
      </w:r>
      <w:r>
        <w:rPr>
          <w:rFonts w:hint="eastAsia" w:ascii="Times New Roman" w:hAnsi="Times New Roman" w:eastAsia="宋体"/>
          <w:sz w:val="24"/>
          <w:szCs w:val="24"/>
        </w:rPr>
        <w:t xml:space="preserve">  </w:t>
      </w:r>
      <w:r>
        <w:rPr>
          <w:rFonts w:ascii="Times New Roman" w:hAnsi="Times New Roman" w:eastAsia="宋体"/>
          <w:sz w:val="24"/>
          <w:szCs w:val="24"/>
        </w:rPr>
        <w:t xml:space="preserve"> 月  </w:t>
      </w:r>
      <w:r>
        <w:rPr>
          <w:rFonts w:hint="eastAsia" w:ascii="Times New Roman" w:hAnsi="Times New Roman" w:eastAsia="宋体"/>
          <w:sz w:val="24"/>
          <w:szCs w:val="24"/>
        </w:rPr>
        <w:t xml:space="preserve"> </w:t>
      </w:r>
      <w:r>
        <w:rPr>
          <w:rFonts w:ascii="Times New Roman" w:hAnsi="Times New Roman" w:eastAsia="宋体"/>
          <w:sz w:val="24"/>
          <w:szCs w:val="24"/>
        </w:rPr>
        <w:t>日</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br w:type="page"/>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eastAsia="zh-CN"/>
        </w:rPr>
        <w:t>附件</w:t>
      </w:r>
      <w:r>
        <w:rPr>
          <w:rFonts w:hint="eastAsia" w:ascii="Times New Roman" w:hAnsi="Times New Roman" w:eastAsia="宋体" w:cs="宋体"/>
          <w:sz w:val="24"/>
          <w:szCs w:val="24"/>
          <w:lang w:val="en-US" w:eastAsia="zh-CN"/>
        </w:rPr>
        <w:t>2：投标保证金函（格式）</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60" w:lineRule="exact"/>
        <w:ind w:firstLine="0" w:firstLineChars="0"/>
        <w:jc w:val="center"/>
        <w:textAlignment w:val="auto"/>
        <w:outlineLvl w:val="9"/>
        <w:rPr>
          <w:rFonts w:hint="eastAsia" w:ascii="Times New Roman" w:hAnsi="Times New Roman" w:eastAsia="宋体" w:cs="宋体"/>
          <w:sz w:val="28"/>
          <w:szCs w:val="28"/>
          <w:lang w:eastAsia="zh-CN"/>
        </w:rPr>
      </w:pPr>
      <w:bookmarkStart w:id="0" w:name="_GoBack"/>
      <w:bookmarkEnd w:id="0"/>
      <w:r>
        <w:rPr>
          <w:rFonts w:hint="eastAsia" w:ascii="Times New Roman" w:hAnsi="Times New Roman" w:eastAsia="宋体" w:cs="宋体"/>
          <w:b/>
          <w:bCs/>
          <w:spacing w:val="20"/>
          <w:sz w:val="28"/>
          <w:szCs w:val="28"/>
          <w:lang w:eastAsia="zh-CN"/>
        </w:rPr>
        <w:t>投标保证金函</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我司参与投标</w:t>
      </w:r>
      <w:r>
        <w:rPr>
          <w:rFonts w:hint="eastAsia" w:ascii="Times New Roman" w:hAnsi="Times New Roman" w:eastAsia="宋体" w:cs="宋体"/>
          <w:sz w:val="24"/>
          <w:szCs w:val="24"/>
          <w:u w:val="single"/>
          <w:lang w:eastAsia="zh-CN"/>
        </w:rPr>
        <w:t>　　　　　　　　　　　　　　</w:t>
      </w:r>
      <w:r>
        <w:rPr>
          <w:rFonts w:hint="eastAsia" w:ascii="Times New Roman" w:hAnsi="Times New Roman" w:eastAsia="宋体" w:cs="宋体"/>
          <w:sz w:val="24"/>
          <w:szCs w:val="24"/>
          <w:lang w:eastAsia="zh-CN"/>
        </w:rPr>
        <w:t>项目（招标编号：</w:t>
      </w:r>
      <w:r>
        <w:rPr>
          <w:rFonts w:hint="eastAsia" w:ascii="Times New Roman" w:hAnsi="Times New Roman" w:eastAsia="宋体" w:cs="宋体"/>
          <w:sz w:val="24"/>
          <w:szCs w:val="24"/>
          <w:u w:val="single"/>
          <w:lang w:eastAsia="zh-CN"/>
        </w:rPr>
        <w:t>　　　　　</w:t>
      </w:r>
      <w:r>
        <w:rPr>
          <w:rFonts w:hint="eastAsia" w:ascii="Times New Roman" w:hAnsi="Times New Roman" w:eastAsia="宋体" w:cs="宋体"/>
          <w:sz w:val="24"/>
          <w:szCs w:val="24"/>
          <w:lang w:eastAsia="zh-CN"/>
        </w:rPr>
        <w:t>），在贵司尚有已结未付款项且数额足够抵扣投标保证金，现要求本次招标项目的投标保证金从已结未付款项中转扣，具体如下：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1、投标保证金金额：</w:t>
      </w:r>
      <w:r>
        <w:rPr>
          <w:rFonts w:hint="eastAsia" w:ascii="Times New Roman" w:hAnsi="Times New Roman" w:eastAsia="宋体" w:cs="宋体"/>
          <w:sz w:val="24"/>
          <w:szCs w:val="24"/>
          <w:u w:val="single"/>
          <w:lang w:eastAsia="zh-CN"/>
        </w:rPr>
        <w:t>　　　　　</w:t>
      </w:r>
      <w:r>
        <w:rPr>
          <w:rFonts w:hint="eastAsia" w:ascii="Times New Roman" w:hAnsi="Times New Roman" w:eastAsia="宋体" w:cs="宋体"/>
          <w:sz w:val="24"/>
          <w:szCs w:val="24"/>
          <w:lang w:eastAsia="zh-CN"/>
        </w:rPr>
        <w:t>元。</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2、转抵款项形式：□已结未付货款</w:t>
      </w:r>
      <w:r>
        <w:rPr>
          <w:rFonts w:hint="eastAsia" w:ascii="Times New Roman" w:hAnsi="Times New Roman" w:eastAsia="宋体" w:cs="宋体"/>
          <w:sz w:val="24"/>
          <w:szCs w:val="24"/>
          <w:lang w:val="en-US" w:eastAsia="zh-CN"/>
        </w:rPr>
        <w:t xml:space="preserve">     </w:t>
      </w:r>
      <w:r>
        <w:rPr>
          <w:rFonts w:hint="eastAsia" w:ascii="Times New Roman" w:hAnsi="Times New Roman" w:eastAsia="宋体" w:cs="宋体"/>
          <w:sz w:val="24"/>
          <w:szCs w:val="24"/>
          <w:lang w:eastAsia="zh-CN"/>
        </w:rPr>
        <w:t>□到期未退保证金。</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3、我司若中标，同意将投标保证金转为履约保证金。</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4、我司若出现法律法规和招标文件规定的关于不予退还投标保证金的情形，同意招标人按相关规定执行，我司对此无任何异议。</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投标人名称：（盖公章）</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日　期：　　　年　　月　　日</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福建省青山纸业股份有限公司</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5" w:type="default"/>
      <w:pgSz w:w="11906" w:h="16838"/>
      <w:pgMar w:top="1440" w:right="1440" w:bottom="1440" w:left="1440" w:header="851" w:footer="992"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3SB186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tabs>
        <w:tab w:val="left" w:pos="6435"/>
      </w:tabs>
      <w:kinsoku/>
      <w:wordWrap/>
      <w:overflowPunct/>
      <w:topLinePunct w:val="0"/>
      <w:autoSpaceDE/>
      <w:autoSpaceDN/>
      <w:bidi w:val="0"/>
      <w:adjustRightInd/>
      <w:snapToGrid w:val="0"/>
      <w:spacing w:line="300" w:lineRule="auto"/>
      <w:jc w:val="left"/>
      <w:textAlignment w:val="auto"/>
      <w:outlineLvl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CE3975"/>
    <w:rsid w:val="08E72CEF"/>
    <w:rsid w:val="09997EE7"/>
    <w:rsid w:val="09F86387"/>
    <w:rsid w:val="0A037160"/>
    <w:rsid w:val="0AF65C4C"/>
    <w:rsid w:val="0BD679A8"/>
    <w:rsid w:val="0C992A98"/>
    <w:rsid w:val="0D015163"/>
    <w:rsid w:val="0D2A74AE"/>
    <w:rsid w:val="0D592C37"/>
    <w:rsid w:val="0D5F3512"/>
    <w:rsid w:val="0E3C49E1"/>
    <w:rsid w:val="0E8B2E75"/>
    <w:rsid w:val="0F873F0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0E5006D"/>
    <w:rsid w:val="21F72B38"/>
    <w:rsid w:val="22A1546C"/>
    <w:rsid w:val="22F02809"/>
    <w:rsid w:val="24C550DC"/>
    <w:rsid w:val="24CA313E"/>
    <w:rsid w:val="25B454E3"/>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76F76C8"/>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1C92E33"/>
    <w:rsid w:val="44082718"/>
    <w:rsid w:val="47BB01F2"/>
    <w:rsid w:val="47C60904"/>
    <w:rsid w:val="4810454C"/>
    <w:rsid w:val="48571F9B"/>
    <w:rsid w:val="485A1FE6"/>
    <w:rsid w:val="494848CE"/>
    <w:rsid w:val="4ACF470A"/>
    <w:rsid w:val="50635474"/>
    <w:rsid w:val="510D00AA"/>
    <w:rsid w:val="53B91808"/>
    <w:rsid w:val="54585E17"/>
    <w:rsid w:val="55867334"/>
    <w:rsid w:val="55912732"/>
    <w:rsid w:val="574E15B7"/>
    <w:rsid w:val="598757BF"/>
    <w:rsid w:val="5A105A15"/>
    <w:rsid w:val="5D23354B"/>
    <w:rsid w:val="5D785372"/>
    <w:rsid w:val="5D94260B"/>
    <w:rsid w:val="5DAE499A"/>
    <w:rsid w:val="5F194A83"/>
    <w:rsid w:val="5F6F0FB4"/>
    <w:rsid w:val="5FF8694B"/>
    <w:rsid w:val="610928EA"/>
    <w:rsid w:val="62A84C8F"/>
    <w:rsid w:val="63A30CC0"/>
    <w:rsid w:val="63F071FB"/>
    <w:rsid w:val="64DB1FB5"/>
    <w:rsid w:val="655834F7"/>
    <w:rsid w:val="661C08AC"/>
    <w:rsid w:val="67157C63"/>
    <w:rsid w:val="674E2FFC"/>
    <w:rsid w:val="67695FF5"/>
    <w:rsid w:val="68E3273E"/>
    <w:rsid w:val="69CB5362"/>
    <w:rsid w:val="6AF32396"/>
    <w:rsid w:val="6AF86597"/>
    <w:rsid w:val="6B0726BC"/>
    <w:rsid w:val="6B773290"/>
    <w:rsid w:val="6BC23D95"/>
    <w:rsid w:val="6CB025BF"/>
    <w:rsid w:val="6D0F5985"/>
    <w:rsid w:val="6DEC5843"/>
    <w:rsid w:val="701A7798"/>
    <w:rsid w:val="71E749FC"/>
    <w:rsid w:val="71F55825"/>
    <w:rsid w:val="71FA0AA6"/>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2023-08-24T01:15:29Z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