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：板纸3#机复卷机前、后底辊在线喷涂修理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2.1复卷机前、后底辊在线喷涂修理技术参数</w:t>
      </w:r>
      <w:r>
        <w:rPr>
          <w:rFonts w:hint="eastAsia" w:ascii="Times New Roman" w:hAnsi="Times New Roman" w:eastAsia="宋体"/>
          <w:b w:val="0"/>
          <w:bCs/>
          <w:color w:val="auto"/>
          <w:sz w:val="24"/>
          <w:szCs w:val="24"/>
          <w:lang w:val="en-US" w:eastAsia="zh-CN"/>
        </w:rPr>
        <w:t>（复卷机最大转速2000m/min）：</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2.1.1前底辊：Φ800×5800；后底辊：Φ750×5800（带沟槽和抽气孔）；</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2.1.2喷涂材料：碳化钨；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2.1.3喷涂厚度：不小于0.1mm；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2.1.4喷涂后硬度：1200±100HV；</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2.1.5喷涂后需进行抛光并去除尖角；</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2.1.6喷涂后表面粗糙度：Ra8-10μm；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2.1.7投标书内应注明需要招标人配合的事项；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2.1.8投标书内应有现场施工安全措施。</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2.2修理内容</w:t>
      </w:r>
      <w:r>
        <w:rPr>
          <w:rFonts w:hint="eastAsia" w:ascii="Times New Roman" w:hAnsi="Times New Roman" w:eastAsia="宋体"/>
          <w:b w:val="0"/>
          <w:bCs/>
          <w:color w:val="auto"/>
          <w:sz w:val="24"/>
          <w:szCs w:val="24"/>
          <w:lang w:val="en-US" w:eastAsia="zh-CN"/>
        </w:rPr>
        <w:t>：复卷机前、后底辊在线喷涂修理。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Ansi="宋体"/>
          <w:sz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.技术要求</w:t>
      </w:r>
      <w:r>
        <w:rPr>
          <w:rFonts w:hint="eastAsia" w:ascii="Times New Roman" w:hAnsi="Times New Roman" w:eastAsia="宋体"/>
          <w:b w:val="0"/>
          <w:bCs/>
          <w:color w:val="auto"/>
          <w:sz w:val="24"/>
          <w:szCs w:val="24"/>
        </w:rPr>
        <w:t>：按规范修理，修理后满足板纸3#机生产工艺要求。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4.项目完成时间及地点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4.1项目完成时间：初定8月份中旬（15号左右），必须在2-3日喷涂完，具体时间另行通知。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4.2项目地点：福建省三明市沙县区青州镇福建省青山纸业股份有限公司指定生产区域内。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6.1中标方提供工作需要的喷砂、喷涂和研磨设备及附件。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6.2中标方负责修理所需设备及材料的运输。</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6.3中标方负责底辊的研磨、辊面的喷砂及清洁、辊面沟槽保护、碳化钨的喷涂和抛光。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6.4中标方负责修理数据的检测并提供修理报告。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6.5中标方施工前应办理开工报告，并交纳安全保证金3000元；签署工程安全协议书。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6.6招标方提供现场仪表用压缩空气、电源、水源，招标方提供现场行车配合。</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：质量保证期为设备安装使用后12个月或设备到厂后18个月（以先到为准），投标人可承诺正偏离</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.1项目验收合格后招标人财务部全额发票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，在质保期（投标方承诺最长质保期）满后三十天内付清，质保金不计利息。人民币报价和结算，中标人须开具税率为13%增值税专用发票。</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9.2报价必须包含现场安装指导费用。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9.2报价为含13%增值税专用发票到厂价，以一票制方式结算。</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①技术性能保证值：20分；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②所用材料品质；15分；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①类似业绩（2分）：以近三年合同复印件为准，1分/份，满分2分；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分）：质保期1年为0分，质保期</w:t>
            </w:r>
            <w:r>
              <w:rPr>
                <w:rFonts w:hint="eastAsia"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eastAsia="zh-CN"/>
              </w:rPr>
              <w:t>年以上，保质期最长的为满分3分，其它的按比例得分。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25</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11</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color w:val="auto"/>
          <w:sz w:val="24"/>
          <w:szCs w:val="24"/>
        </w:rPr>
        <w:t>已结未付款项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b/>
          <w:bCs/>
          <w:color w:val="auto"/>
          <w:sz w:val="24"/>
          <w:szCs w:val="24"/>
        </w:rPr>
        <w:t>：</w:t>
      </w:r>
      <w:r>
        <w:rPr>
          <w:rFonts w:hint="eastAsia" w:ascii="Times New Roman" w:hAnsi="Times New Roman" w:eastAsia="宋体"/>
          <w:b/>
          <w:bCs/>
          <w:color w:val="FF0000"/>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bookmarkStart w:id="0" w:name="_GoBack"/>
      <w:bookmarkEnd w:id="0"/>
      <w:r>
        <w:rPr>
          <w:rFonts w:ascii="Times New Roman" w:hAnsi="Times New Roman" w:eastAsia="宋体"/>
          <w:color w:val="auto"/>
          <w:sz w:val="24"/>
          <w:szCs w:val="24"/>
        </w:rPr>
        <w:t>；</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b/>
          <w:bCs/>
          <w:color w:val="FF0000"/>
          <w:sz w:val="24"/>
          <w:szCs w:val="24"/>
        </w:rPr>
        <w:t>（必须由法定代表人或被授权人签字或盖</w:t>
      </w:r>
      <w:r>
        <w:rPr>
          <w:rFonts w:hint="eastAsia" w:ascii="Times New Roman" w:hAnsi="Times New Roman"/>
          <w:b/>
          <w:bCs/>
          <w:color w:val="FF0000"/>
          <w:sz w:val="24"/>
          <w:szCs w:val="24"/>
          <w:lang w:eastAsia="zh-CN"/>
        </w:rPr>
        <w:t>个人</w:t>
      </w:r>
      <w:r>
        <w:rPr>
          <w:rFonts w:hint="eastAsia" w:ascii="Times New Roman" w:hAnsi="Times New Roman" w:eastAsia="宋体"/>
          <w:b/>
          <w:bCs/>
          <w:color w:val="FF0000"/>
          <w:sz w:val="24"/>
          <w:szCs w:val="24"/>
        </w:rPr>
        <w:t>章）</w:t>
      </w:r>
      <w:r>
        <w:rPr>
          <w:rFonts w:hint="eastAsia" w:ascii="Times New Roman" w:hAnsi="Times New Roman" w:eastAsia="宋体"/>
          <w:color w:val="auto"/>
          <w:sz w:val="24"/>
          <w:szCs w:val="24"/>
        </w:rPr>
        <w:t>；b.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3SB169CC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EDD1967"/>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697BC9"/>
    <w:rsid w:val="2AC01F30"/>
    <w:rsid w:val="2ACE7F9E"/>
    <w:rsid w:val="2BC45956"/>
    <w:rsid w:val="2C525A9B"/>
    <w:rsid w:val="2CEB6B00"/>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64E5A36"/>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2023-08-18T03:29:23Z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