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：纸袋纸事业部一压沟纹辊包胶</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2.1包胶修理内容：</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（1）在辊子表层挂12.5mm厚聚氨脂（VENTSUREⅡ）；</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（2）聚氨脂（VENTSUREⅡ）硬度P&amp;J1-2；</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（3）沟纹宽为0.508</w:t>
      </w:r>
      <w:r>
        <w:rPr>
          <w:rFonts w:hint="eastAsia" w:ascii="Times New Roman" w:hAnsi="Times New Roman" w:eastAsiaTheme="minorEastAsia"/>
          <w:color w:val="000000"/>
          <w:kern w:val="0"/>
          <w:sz w:val="24"/>
          <w:eastAsianLayout w:id="6" w:combine="1"/>
        </w:rPr>
        <w:t>+0.025　-0.075</w:t>
      </w:r>
      <w:r>
        <w:rPr>
          <w:rFonts w:hint="eastAsia" w:ascii="Times New Roman" w:hAnsi="Times New Roman" w:eastAsia="宋体"/>
          <w:b w:val="0"/>
          <w:bCs/>
          <w:color w:val="auto"/>
          <w:sz w:val="24"/>
          <w:szCs w:val="24"/>
          <w:lang w:val="en-US" w:eastAsia="zh-CN"/>
        </w:rPr>
        <w:t>；沟纹深2.54±0.254mm，螺距3.175mm；,</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（4）辊子中高0.8mm。附图：一压沟纹辊包胶简图；</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（5）辊子运转测试，包括振动测试、系统分析； 做动平衡校验，动平衡等级：G2.5；动平衡转速：100m/min，并出具测试报告并包装。</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（6）来回运输由招标方负责；装卸车及包装就近负责原则。</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2.2技术要求：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按照图纸（图号：纸TJ-2007-04-13-4）进行包胶，投标时请附包胶方案。</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Ansi="宋体"/>
          <w:sz w:val="24"/>
        </w:rPr>
      </w:pPr>
      <w:r>
        <w:rPr>
          <w:rFonts w:hint="eastAsia" w:ascii="Times New Roman" w:hAnsi="Times New Roman" w:eastAsia="宋体"/>
          <w:b w:val="0"/>
          <w:bCs/>
          <w:color w:val="auto"/>
          <w:sz w:val="24"/>
          <w:szCs w:val="24"/>
          <w:lang w:val="en-US" w:eastAsia="zh-CN"/>
        </w:rPr>
        <w:t>4.1交货时间：投标文件中注明最短交货期</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4.2交货地点：福建省三明市沙县区青州镇福建省青山纸业股份有限公司</w:t>
      </w:r>
      <w:r>
        <w:rPr>
          <w:color w:val="000000"/>
          <w:kern w:val="0"/>
          <w:sz w:val="24"/>
        </w:rPr>
        <w:t>设备仓库或指定生产区域内</w:t>
      </w:r>
      <w:r>
        <w:rPr>
          <w:rFonts w:hint="eastAsia" w:ascii="Times New Roman" w:hAnsi="Times New Roman" w:eastAsia="宋体"/>
          <w:b w:val="0"/>
          <w:bCs/>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.对投标人资格要求</w:t>
      </w:r>
      <w:r>
        <w:rPr>
          <w:rFonts w:hint="eastAsia" w:ascii="Times New Roman" w:hAnsi="Times New Roman" w:eastAsia="宋体"/>
          <w:b w:val="0"/>
          <w:bCs/>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4.1</w:t>
      </w:r>
      <w:r>
        <w:rPr>
          <w:rFonts w:hint="eastAsia" w:ascii="Times New Roman" w:hAnsi="Times New Roman" w:eastAsia="宋体"/>
          <w:b w:val="0"/>
          <w:bCs/>
          <w:color w:val="auto"/>
          <w:sz w:val="24"/>
          <w:szCs w:val="24"/>
          <w:lang w:eastAsia="zh-CN"/>
        </w:rPr>
        <w:t>投标人应是具备独立法人资格，有资质和能力提供服务、信用良好的国内企业或国际企业。</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rPr>
      </w:pPr>
      <w:r>
        <w:rPr>
          <w:rFonts w:hint="eastAsia" w:ascii="Times New Roman" w:hAnsi="Times New Roman" w:eastAsia="宋体"/>
          <w:b w:val="0"/>
          <w:bCs/>
          <w:color w:val="auto"/>
          <w:sz w:val="24"/>
          <w:szCs w:val="24"/>
          <w:lang w:val="en-US" w:eastAsia="zh-CN"/>
        </w:rPr>
        <w:t>4.2</w:t>
      </w:r>
      <w:r>
        <w:rPr>
          <w:rFonts w:hint="eastAsia" w:ascii="Times New Roman" w:hAnsi="Times New Roman" w:eastAsia="宋体"/>
          <w:b w:val="0"/>
          <w:bCs/>
          <w:color w:val="auto"/>
          <w:sz w:val="24"/>
          <w:szCs w:val="24"/>
          <w:lang w:eastAsia="zh-CN"/>
        </w:rPr>
        <w:t>非生产单位投标必须出具生产单位的代理证书。</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bCs/>
          <w:color w:val="auto"/>
          <w:sz w:val="24"/>
          <w:szCs w:val="24"/>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：质量保证期为设备安装使用后12个月或设备到厂后18个月（以先到为准），投标人可承诺更长质保期</w:t>
      </w:r>
      <w:r>
        <w:rPr>
          <w:rFonts w:hint="eastAsia" w:ascii="Times New Roman" w:hAnsi="Times New Roman" w:eastAsia="宋体"/>
          <w:b w:val="0"/>
          <w:bCs/>
          <w:color w:val="auto"/>
          <w:sz w:val="24"/>
          <w:szCs w:val="24"/>
        </w:rPr>
        <w:t>。</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6</w:t>
      </w:r>
      <w:r>
        <w:rPr>
          <w:rFonts w:hint="eastAsia" w:ascii="Times New Roman" w:hAnsi="Times New Roman" w:eastAsia="宋体"/>
          <w:b/>
          <w:color w:val="auto"/>
          <w:sz w:val="24"/>
          <w:szCs w:val="24"/>
        </w:rPr>
        <w:t>.付款方式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w:t>
      </w:r>
      <w:r>
        <w:rPr>
          <w:rFonts w:hint="eastAsia" w:ascii="Times New Roman" w:hAnsi="Times New Roman" w:eastAsia="宋体"/>
          <w:b w:val="0"/>
          <w:bCs/>
          <w:color w:val="auto"/>
          <w:sz w:val="24"/>
          <w:szCs w:val="24"/>
          <w:lang w:eastAsia="zh-CN"/>
        </w:rPr>
        <w:t>.1安装验收合格后招标人财务部收到全额发票</w:t>
      </w:r>
      <w:r>
        <w:rPr>
          <w:rFonts w:hint="eastAsia" w:ascii="Times New Roman" w:hAnsi="Times New Roman" w:eastAsia="宋体"/>
          <w:b w:val="0"/>
          <w:bCs/>
          <w:color w:val="auto"/>
          <w:sz w:val="24"/>
          <w:szCs w:val="24"/>
          <w:lang w:val="en-US" w:eastAsia="zh-CN"/>
        </w:rPr>
        <w:t>45天</w:t>
      </w:r>
      <w:r>
        <w:rPr>
          <w:rFonts w:hint="eastAsia" w:ascii="Times New Roman" w:hAnsi="Times New Roman" w:eastAsia="宋体"/>
          <w:b w:val="0"/>
          <w:bCs/>
          <w:color w:val="auto"/>
          <w:sz w:val="24"/>
          <w:szCs w:val="24"/>
          <w:lang w:eastAsia="zh-CN"/>
        </w:rPr>
        <w:t>支付工程总合同价的90%（银行承兑汇票），质保金为总合同价的10</w:t>
      </w:r>
      <w:r>
        <w:rPr>
          <w:rFonts w:hint="eastAsia" w:ascii="Times New Roman" w:hAnsi="Times New Roman" w:eastAsia="宋体"/>
          <w:b w:val="0"/>
          <w:bCs/>
          <w:color w:val="auto"/>
          <w:sz w:val="24"/>
          <w:szCs w:val="24"/>
          <w:lang w:val="en-US" w:eastAsia="zh-CN"/>
        </w:rPr>
        <w:t>%</w:t>
      </w:r>
      <w:r>
        <w:rPr>
          <w:rFonts w:hint="eastAsia" w:ascii="Times New Roman" w:hAnsi="Times New Roman" w:eastAsia="宋体"/>
          <w:b w:val="0"/>
          <w:bCs/>
          <w:color w:val="auto"/>
          <w:sz w:val="24"/>
          <w:szCs w:val="24"/>
          <w:lang w:eastAsia="zh-CN"/>
        </w:rPr>
        <w:t>，在质保期（投标方承诺最长质保期）满后三十天内付清，质保金不计利息。但投标方可用自己的付款方式进行投标（根据偏离情况计分）。人民币报价和结算，中标人须开具税率为13%增值税专用发票。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w:t>
      </w:r>
      <w:r>
        <w:rPr>
          <w:rFonts w:hint="eastAsia" w:ascii="Times New Roman" w:hAnsi="Times New Roman" w:eastAsia="宋体"/>
          <w:b w:val="0"/>
          <w:bCs/>
          <w:color w:val="auto"/>
          <w:sz w:val="24"/>
          <w:szCs w:val="24"/>
          <w:lang w:eastAsia="zh-CN"/>
        </w:rPr>
        <w:t>.2发票要求：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w:t>
      </w:r>
      <w:r>
        <w:rPr>
          <w:rFonts w:hint="eastAsia" w:ascii="Times New Roman" w:hAnsi="Times New Roman" w:eastAsia="宋体"/>
          <w:b w:val="0"/>
          <w:bCs/>
          <w:color w:val="auto"/>
          <w:sz w:val="24"/>
          <w:szCs w:val="24"/>
          <w:lang w:eastAsia="zh-CN"/>
        </w:rPr>
        <w:t>.2.1中标人须为招标人开具合法、有效、完整、准确的增值税专用发票。中标人提供增值税发票税率为【13%】。</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w:t>
      </w:r>
      <w:r>
        <w:rPr>
          <w:rFonts w:hint="eastAsia" w:ascii="Times New Roman" w:hAnsi="Times New Roman" w:eastAsia="宋体"/>
          <w:b w:val="0"/>
          <w:bCs/>
          <w:color w:val="auto"/>
          <w:sz w:val="24"/>
          <w:szCs w:val="24"/>
          <w:lang w:eastAsia="zh-CN"/>
        </w:rPr>
        <w:t>.2.2中标人承诺，如招标人或任何第三方（包括但不限于招标人财务部、审计部、政府税务机关、独立审计机构）在任何时候发现中标人开具的发票不符合要求或存在开具无效票据（如伪造、变造、虚开、作废等），中标人应在税务机关发现或招标人通知之日起5日内重新为招标人开具合法合规符合要求的增值税发票，并承担招标人由此所产生的全部损失（包括但不限于税款、滞纳金、行政处罚等）。如中标人因开具不符合要求的发票而受到有权机关处罚，该等处罚不能作为中标人减轻或免除按照上述约定应向招标人承担责任的理由。</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w:t>
      </w:r>
      <w:r>
        <w:rPr>
          <w:rFonts w:hint="eastAsia" w:ascii="Times New Roman" w:hAnsi="Times New Roman" w:eastAsia="宋体"/>
          <w:b w:val="0"/>
          <w:bCs/>
          <w:color w:val="auto"/>
          <w:sz w:val="24"/>
          <w:szCs w:val="24"/>
          <w:lang w:eastAsia="zh-CN"/>
        </w:rPr>
        <w:t>.2.3出现以上情形后，若中标人拒不提供或延期提供票据，则招标人有权拒付或延期支付剩余款项，同时中标人还应向招标人支付所提供不合规发票票面总额【30%】的违约金，如给招标人造成其他损失的，中标人应予赔偿。本款中招标人拒收发票，或招标人暂停支付款项等行为，不视为招标人违约，中标人不得以此为由中止履行合同约定的义务。中标人自愿放弃请求调整违约金的权利。</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w:t>
      </w:r>
      <w:r>
        <w:rPr>
          <w:rFonts w:hint="eastAsia" w:ascii="Times New Roman" w:hAnsi="Times New Roman" w:eastAsia="宋体"/>
          <w:b w:val="0"/>
          <w:bCs/>
          <w:color w:val="auto"/>
          <w:sz w:val="24"/>
          <w:szCs w:val="24"/>
          <w:lang w:eastAsia="zh-CN"/>
        </w:rPr>
        <w:t>.2.4招标人有权在应付中标人的任何款项中扣除中标人应向招标人支付的违约金及损失赔偿金等，若招标人从应付中标人的款项中扣除了违约金、损失赔偿额等款项的，中标人仍应按扣除前的含税合同金额开具增值税发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w:t>
      </w:r>
      <w:r>
        <w:rPr>
          <w:rFonts w:hint="eastAsia" w:ascii="Times New Roman" w:hAnsi="Times New Roman" w:eastAsia="宋体"/>
          <w:b w:val="0"/>
          <w:bCs/>
          <w:color w:val="auto"/>
          <w:sz w:val="24"/>
          <w:szCs w:val="24"/>
          <w:lang w:eastAsia="zh-CN"/>
        </w:rPr>
        <w:t>.2.5若中标人由一般纳税人身份变为小规模纳税人身份的，或计税方法、政策法规规范性文件发生变化的，并导致招标人可抵扣的进项税额减少或被税务机关要求补缴税款的，减少的进项税额或补缴的税款由中标人承担，招标人有权从应付中标人的款项中扣除。</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7.1</w:t>
      </w:r>
      <w:r>
        <w:rPr>
          <w:rFonts w:ascii="Times New Roman" w:hAnsi="Times New Roman" w:eastAsia="宋体"/>
          <w:color w:val="auto"/>
          <w:sz w:val="24"/>
          <w:szCs w:val="24"/>
        </w:rPr>
        <w:t>本次招标采取一次性报价方式。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7</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2报价为含13%增值税价格，</w:t>
      </w:r>
      <w:r>
        <w:rPr>
          <w:rFonts w:hint="eastAsia" w:ascii="Times New Roman" w:hAnsi="Times New Roman" w:eastAsia="宋体"/>
          <w:color w:val="auto"/>
          <w:sz w:val="24"/>
          <w:szCs w:val="24"/>
        </w:rPr>
        <w:t>以一票制方式结算。</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8.1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2"/>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rPr>
              <w:t>F=60-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10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363"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30</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①包胶方案满足招标文件要求的程度：20分；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②包胶方案技术性能保证值：5分；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③包胶方案中胶料的材料品牌；5分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④不满足修理技术要求的，按废标处理。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质保</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①相关行业类似业绩（3分）：1分/份合同（以五年内合同复印件为准），封顶3分。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②质保情况（2分）：质保1年（含）以下0分，1年以上每增加6个月得0.5分，最高</w:t>
            </w:r>
            <w:r>
              <w:rPr>
                <w:rFonts w:hint="eastAsia" w:ascii="Times New Roman" w:hAnsi="Times New Roman" w:eastAsia="宋体" w:cs="Times New Roman"/>
                <w:color w:val="auto"/>
                <w:kern w:val="0"/>
                <w:szCs w:val="21"/>
                <w:lang w:val="en-US" w:eastAsia="zh-CN"/>
              </w:rPr>
              <w:t>2分</w:t>
            </w:r>
            <w:r>
              <w:rPr>
                <w:rFonts w:hint="eastAsia" w:ascii="Times New Roman" w:hAnsi="Times New Roman" w:eastAsia="宋体" w:cs="Times New Roman"/>
                <w:color w:val="auto"/>
                <w:kern w:val="0"/>
                <w:szCs w:val="21"/>
                <w:lang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①预付款（3分）：无预付款满分，其余按比例扣分；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②承兑汇票（1分）：接受1分，不接受0分；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③10%质保金（1分）：接受1分</w:t>
            </w:r>
            <w:r>
              <w:rPr>
                <w:rFonts w:hint="eastAsia" w:ascii="Times New Roman" w:hAnsi="Times New Roman" w:cs="Times New Roman"/>
                <w:b w:val="0"/>
                <w:bCs/>
                <w:color w:val="auto"/>
                <w:kern w:val="0"/>
                <w:szCs w:val="21"/>
                <w:lang w:val="en-US" w:eastAsia="zh-CN"/>
              </w:rPr>
              <w:t>（若为银行保函形式则只得0.5分）</w:t>
            </w:r>
            <w:r>
              <w:rPr>
                <w:rFonts w:hint="eastAsia" w:ascii="Times New Roman" w:hAnsi="Times New Roman" w:eastAsia="宋体" w:cs="Times New Roman"/>
                <w:b w:val="0"/>
                <w:bCs/>
                <w:color w:val="auto"/>
                <w:kern w:val="0"/>
                <w:szCs w:val="21"/>
                <w:lang w:val="en-US" w:eastAsia="zh-CN"/>
              </w:rPr>
              <w:t>，不接受0分。</w:t>
            </w:r>
          </w:p>
        </w:tc>
      </w:tr>
    </w:tbl>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highlight w:val="none"/>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22</w:t>
      </w:r>
      <w:r>
        <w:rPr>
          <w:rFonts w:ascii="Times New Roman" w:hAnsi="Times New Roman" w:eastAsia="宋体"/>
          <w:color w:val="auto"/>
          <w:sz w:val="24"/>
          <w:szCs w:val="24"/>
        </w:rPr>
        <w:t>日</w:t>
      </w:r>
      <w:r>
        <w:rPr>
          <w:rFonts w:hint="eastAsia" w:ascii="Times New Roman" w:hAnsi="Times New Roman" w:eastAsia="宋体"/>
          <w:color w:val="auto"/>
          <w:sz w:val="24"/>
          <w:szCs w:val="24"/>
        </w:rPr>
        <w:t>1</w:t>
      </w:r>
      <w:r>
        <w:rPr>
          <w:rFonts w:hint="eastAsia" w:ascii="Times New Roman" w:hAnsi="Times New Roman"/>
          <w:color w:val="auto"/>
          <w:sz w:val="24"/>
          <w:szCs w:val="24"/>
          <w:lang w:val="en-US" w:eastAsia="zh-CN"/>
        </w:rPr>
        <w:t>5</w:t>
      </w:r>
      <w:r>
        <w:rPr>
          <w:rFonts w:hint="eastAsia" w:ascii="Times New Roman" w:hAnsi="Times New Roman" w:eastAsia="宋体"/>
          <w:color w:val="auto"/>
          <w:sz w:val="24"/>
          <w:szCs w:val="24"/>
        </w:rPr>
        <w:t>:</w:t>
      </w:r>
      <w:r>
        <w:rPr>
          <w:rFonts w:hint="eastAsia" w:ascii="Times New Roman" w:hAnsi="Times New Roman"/>
          <w:color w:val="auto"/>
          <w:sz w:val="24"/>
          <w:szCs w:val="24"/>
          <w:lang w:val="en-US" w:eastAsia="zh-CN"/>
        </w:rPr>
        <w:t>0</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w:t>
      </w:r>
      <w:r>
        <w:rPr>
          <w:rFonts w:ascii="Times New Roman" w:hAnsi="Times New Roman" w:eastAsia="宋体"/>
          <w:color w:val="auto"/>
          <w:sz w:val="24"/>
          <w:szCs w:val="24"/>
          <w:highlight w:val="none"/>
        </w:rPr>
        <w:t>楼招标办会议室公开开标。</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9</w:t>
      </w:r>
      <w:r>
        <w:rPr>
          <w:rFonts w:ascii="Times New Roman" w:hAnsi="Times New Roman" w:eastAsia="宋体"/>
          <w:color w:val="auto"/>
          <w:sz w:val="24"/>
          <w:szCs w:val="24"/>
          <w:highlight w:val="none"/>
        </w:rPr>
        <w:t>.2参与方式：</w:t>
      </w:r>
      <w:r>
        <w:rPr>
          <w:rFonts w:hint="eastAsia" w:ascii="Times New Roman" w:hAnsi="Times New Roman" w:eastAsia="宋体"/>
          <w:color w:val="auto"/>
          <w:sz w:val="24"/>
          <w:szCs w:val="24"/>
          <w:highlight w:val="none"/>
          <w:lang w:eastAsia="zh-CN"/>
        </w:rPr>
        <w:t>（</w:t>
      </w:r>
      <w:r>
        <w:rPr>
          <w:rFonts w:hint="eastAsia" w:ascii="Times New Roman" w:hAnsi="Times New Roman" w:eastAsia="宋体"/>
          <w:color w:val="auto"/>
          <w:sz w:val="24"/>
          <w:szCs w:val="24"/>
          <w:highlight w:val="none"/>
        </w:rPr>
        <w:t>以下三种参与方式投标人可任选一种</w:t>
      </w:r>
      <w:r>
        <w:rPr>
          <w:rFonts w:hint="eastAsia" w:ascii="Times New Roman" w:hAnsi="Times New Roman" w:eastAsia="宋体"/>
          <w:color w:val="auto"/>
          <w:sz w:val="24"/>
          <w:szCs w:val="24"/>
          <w:highlight w:val="none"/>
          <w:lang w:eastAsia="zh-CN"/>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9</w:t>
      </w:r>
      <w:r>
        <w:rPr>
          <w:rFonts w:hint="eastAsia" w:ascii="Times New Roman" w:hAnsi="Times New Roman" w:eastAsia="宋体"/>
          <w:color w:val="auto"/>
          <w:sz w:val="24"/>
          <w:szCs w:val="24"/>
          <w:highlight w:val="none"/>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9.2.3网络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1"/>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0</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highlight w:val="none"/>
          <w:lang w:val="en-US" w:eastAsia="zh-CN"/>
        </w:rPr>
        <w:t>2000</w:t>
      </w:r>
      <w:r>
        <w:rPr>
          <w:rFonts w:ascii="Times New Roman" w:hAnsi="Times New Roman" w:eastAsia="宋体"/>
          <w:color w:val="auto"/>
          <w:sz w:val="24"/>
          <w:szCs w:val="24"/>
          <w:highlight w:val="none"/>
        </w:rPr>
        <w:t>元。</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.2.1银行电汇；（开户银行：工商银行沙县青州支行、账户名：福建省青山纸业股份有限公司、账号：1404049409001000160。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b/>
          <w:bCs/>
          <w:color w:val="FF0000"/>
          <w:sz w:val="24"/>
          <w:szCs w:val="24"/>
        </w:rPr>
        <w:t>汇款人须注明</w:t>
      </w:r>
      <w:r>
        <w:rPr>
          <w:rFonts w:hint="eastAsia" w:ascii="Times New Roman" w:hAnsi="Times New Roman" w:eastAsia="宋体"/>
          <w:b/>
          <w:bCs/>
          <w:color w:val="FF0000"/>
          <w:sz w:val="24"/>
          <w:szCs w:val="24"/>
        </w:rPr>
        <w:t>参与的招标编号</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.2.2投标保证金函；若本公司与投标人尚有</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（各类未到期的保证金除外）且数额足够抵扣投标保证金时，投标人可出具正式公函明确要求本公司从其</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w:t>
      </w:r>
      <w:r>
        <w:rPr>
          <w:rFonts w:hint="eastAsia" w:ascii="Times New Roman" w:hAnsi="Times New Roman" w:eastAsia="宋体"/>
          <w:color w:val="auto"/>
          <w:sz w:val="24"/>
          <w:szCs w:val="24"/>
          <w:u w:val="none"/>
          <w:lang w:eastAsia="zh-CN"/>
        </w:rPr>
        <w:t>格式见附件</w:t>
      </w:r>
      <w:r>
        <w:rPr>
          <w:rFonts w:hint="eastAsia" w:ascii="Times New Roman" w:hAnsi="Times New Roman" w:eastAsia="宋体"/>
          <w:color w:val="auto"/>
          <w:sz w:val="24"/>
          <w:szCs w:val="24"/>
          <w:u w:val="none"/>
          <w:lang w:val="en-US" w:eastAsia="zh-CN"/>
        </w:rPr>
        <w:t>1</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.4未中标的投标人的投标保证金，以电汇形式的将在一星期内退还；以</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转抵形式的将转回</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并按正常渠道结算。</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转抵形式的将转回</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并按正常渠道结算。</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1</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11.1.1投标保证金凭证：银行电汇回单或投标保证金函。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工</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五年内相关行业类似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1"/>
          <w:rFonts w:ascii="Times New Roman" w:hAnsi="Times New Roman" w:eastAsia="宋体" w:cs="Times New Roman"/>
          <w:color w:val="0000FF"/>
          <w:sz w:val="24"/>
          <w:szCs w:val="24"/>
          <w:shd w:val="clear" w:color="auto" w:fill="FFFFFF"/>
        </w:rPr>
        <w:t>www.qingshanpaper.com</w:t>
      </w:r>
      <w:r>
        <w:rPr>
          <w:rStyle w:val="11"/>
          <w:rFonts w:ascii="Times New Roman" w:hAnsi="Times New Roman" w:eastAsia="宋体" w:cs="Times New Roman"/>
          <w:color w:val="0000FF"/>
          <w:sz w:val="24"/>
          <w:szCs w:val="24"/>
          <w:shd w:val="clear" w:color="auto" w:fill="FFFFFF"/>
        </w:rPr>
        <w:fldChar w:fldCharType="end"/>
      </w:r>
      <w:r>
        <w:rPr>
          <w:rStyle w:val="11"/>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1"/>
          <w:rFonts w:hint="eastAsia" w:ascii="Times New Roman" w:hAnsi="Times New Roman" w:eastAsia="宋体" w:cs="Times New Roman"/>
          <w:color w:val="auto"/>
          <w:sz w:val="24"/>
          <w:szCs w:val="24"/>
          <w:u w:val="none"/>
          <w:shd w:val="clear" w:color="auto" w:fill="FFFFFF"/>
          <w:lang w:eastAsia="zh-CN"/>
        </w:rPr>
        <w:fldChar w:fldCharType="begin"/>
      </w:r>
      <w:r>
        <w:rPr>
          <w:rStyle w:val="11"/>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1"/>
          <w:rFonts w:hint="eastAsia" w:ascii="Times New Roman" w:hAnsi="Times New Roman" w:eastAsia="宋体" w:cs="Times New Roman"/>
          <w:color w:val="auto"/>
          <w:sz w:val="24"/>
          <w:szCs w:val="24"/>
          <w:u w:val="none"/>
          <w:shd w:val="clear" w:color="auto" w:fill="FFFFFF"/>
          <w:lang w:eastAsia="zh-CN"/>
        </w:rPr>
        <w:fldChar w:fldCharType="separate"/>
      </w:r>
      <w:r>
        <w:rPr>
          <w:rStyle w:val="11"/>
          <w:rFonts w:hint="eastAsia" w:ascii="Times New Roman" w:hAnsi="Times New Roman" w:eastAsia="宋体" w:cs="Times New Roman"/>
          <w:sz w:val="24"/>
          <w:szCs w:val="24"/>
          <w:shd w:val="clear" w:color="auto" w:fill="FFFFFF"/>
          <w:lang w:eastAsia="zh-CN"/>
        </w:rPr>
        <w:t>www.fjqfkg.com</w:t>
      </w:r>
      <w:r>
        <w:rPr>
          <w:rStyle w:val="11"/>
          <w:rFonts w:hint="eastAsia" w:ascii="Times New Roman" w:hAnsi="Times New Roman" w:eastAsia="宋体" w:cs="Times New Roman"/>
          <w:color w:val="auto"/>
          <w:sz w:val="24"/>
          <w:szCs w:val="24"/>
          <w:u w:val="none"/>
          <w:shd w:val="clear" w:color="auto" w:fill="FFFFFF"/>
          <w:lang w:eastAsia="zh-CN"/>
        </w:rPr>
        <w:fldChar w:fldCharType="end"/>
      </w:r>
      <w:r>
        <w:rPr>
          <w:rStyle w:val="11"/>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1"/>
          <w:rFonts w:hint="eastAsia" w:ascii="Times New Roman" w:hAnsi="Times New Roman" w:eastAsia="宋体"/>
          <w:b w:val="0"/>
          <w:bCs w:val="0"/>
          <w:sz w:val="24"/>
          <w:szCs w:val="24"/>
          <w:lang w:eastAsia="zh-CN"/>
        </w:rPr>
        <w:t>https:</w:t>
      </w:r>
      <w:r>
        <w:rPr>
          <w:rStyle w:val="11"/>
          <w:rFonts w:hint="eastAsia" w:ascii="Times New Roman" w:hAnsi="Times New Roman" w:eastAsia="宋体"/>
          <w:b w:val="0"/>
          <w:bCs w:val="0"/>
          <w:sz w:val="24"/>
          <w:szCs w:val="24"/>
          <w:lang w:val="en-US" w:eastAsia="zh-CN"/>
        </w:rPr>
        <w:t>//</w:t>
      </w:r>
      <w:r>
        <w:rPr>
          <w:rStyle w:val="11"/>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ht</w:t>
      </w:r>
      <w:r>
        <w:rPr>
          <w:rStyle w:val="11"/>
          <w:rFonts w:hint="eastAsia" w:ascii="Times New Roman" w:hAnsi="Times New Roman" w:cs="Times New Roman"/>
          <w:sz w:val="24"/>
          <w:szCs w:val="24"/>
          <w:shd w:val="clear" w:color="auto" w:fill="FFFFFF"/>
          <w:lang w:val="en-US" w:eastAsia="zh-CN"/>
        </w:rPr>
        <w:t>tp://y</w:t>
      </w:r>
      <w:r>
        <w:rPr>
          <w:rStyle w:val="11"/>
          <w:rFonts w:hint="eastAsia" w:ascii="Times New Roman" w:hAnsi="Times New Roman" w:eastAsia="宋体" w:cs="Times New Roman"/>
          <w:sz w:val="24"/>
          <w:szCs w:val="24"/>
          <w:shd w:val="clear" w:color="auto" w:fill="FFFFFF"/>
        </w:rPr>
        <w:t>gcg</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f</w:t>
      </w:r>
      <w:r>
        <w:rPr>
          <w:rStyle w:val="11"/>
          <w:rFonts w:hint="eastAsia" w:ascii="Times New Roman" w:hAnsi="Times New Roman" w:cs="Times New Roman"/>
          <w:sz w:val="24"/>
          <w:szCs w:val="24"/>
          <w:shd w:val="clear" w:color="auto" w:fill="FFFFFF"/>
          <w:lang w:val="en-US" w:eastAsia="zh-CN"/>
        </w:rPr>
        <w:t>j</w:t>
      </w:r>
      <w:r>
        <w:rPr>
          <w:rStyle w:val="11"/>
          <w:rFonts w:hint="eastAsia" w:ascii="Times New Roman" w:hAnsi="Times New Roman" w:eastAsia="宋体" w:cs="Times New Roman"/>
          <w:sz w:val="24"/>
          <w:szCs w:val="24"/>
          <w:shd w:val="clear" w:color="auto" w:fill="FFFFFF"/>
        </w:rPr>
        <w:t>c</w:t>
      </w:r>
      <w:r>
        <w:rPr>
          <w:rStyle w:val="11"/>
          <w:rFonts w:hint="eastAsia" w:ascii="Times New Roman" w:hAnsi="Times New Roman" w:cs="Times New Roman"/>
          <w:sz w:val="24"/>
          <w:szCs w:val="24"/>
          <w:shd w:val="clear" w:color="auto" w:fill="FFFFFF"/>
          <w:lang w:val="en-US" w:eastAsia="zh-CN"/>
        </w:rPr>
        <w:t>qj</w:t>
      </w:r>
      <w:r>
        <w:rPr>
          <w:rStyle w:val="11"/>
          <w:rFonts w:hint="eastAsia" w:ascii="Times New Roman" w:hAnsi="Times New Roman" w:eastAsia="宋体" w:cs="Times New Roman"/>
          <w:sz w:val="24"/>
          <w:szCs w:val="24"/>
          <w:shd w:val="clear" w:color="auto" w:fill="FFFFFF"/>
        </w:rPr>
        <w:t>y</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14.</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技术联系人：李子文18065854902</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商务联系人：陈初发0598-5658513</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投标保证金函</w:t>
      </w:r>
      <w:r>
        <w:rPr>
          <w:rFonts w:hint="eastAsia" w:ascii="Times New Roman" w:hAnsi="Times New Roman" w:eastAsia="宋体"/>
          <w:color w:val="auto"/>
          <w:sz w:val="24"/>
          <w:szCs w:val="24"/>
        </w:rPr>
        <w:t>（格式）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附图：一压沟纹辊包胶简图【注：有意向参与投标的单位可联系招标办获取】</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1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1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10" w:lineRule="exact"/>
        <w:ind w:firstLine="0" w:firstLineChars="0"/>
        <w:jc w:val="right"/>
        <w:textAlignment w:val="auto"/>
        <w:rPr>
          <w:rFonts w:hint="eastAsia" w:ascii="Times New Roman" w:hAnsi="Times New Roman" w:eastAsia="宋体" w:cs="Times New Roman"/>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14</w:t>
      </w:r>
      <w:bookmarkStart w:id="0" w:name="_GoBack"/>
      <w:bookmarkEnd w:id="0"/>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eastAsia="zh-CN"/>
        </w:rPr>
        <w:t>附件</w:t>
      </w:r>
      <w:r>
        <w:rPr>
          <w:rFonts w:hint="eastAsia" w:ascii="Times New Roman" w:hAnsi="Times New Roman" w:eastAsia="宋体" w:cs="宋体"/>
          <w:sz w:val="24"/>
          <w:szCs w:val="24"/>
          <w:lang w:val="en-US" w:eastAsia="zh-CN"/>
        </w:rPr>
        <w:t>1：投标保证金函（格式）</w:t>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460" w:lineRule="exact"/>
        <w:ind w:firstLine="0" w:firstLineChars="0"/>
        <w:jc w:val="center"/>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b/>
          <w:bCs/>
          <w:spacing w:val="20"/>
          <w:sz w:val="28"/>
          <w:szCs w:val="28"/>
          <w:lang w:eastAsia="zh-CN"/>
        </w:rPr>
        <w:t>投标保证金函</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福建省青山纸业股份有限公司：</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我司参与投标</w:t>
      </w:r>
      <w:r>
        <w:rPr>
          <w:rFonts w:hint="eastAsia" w:ascii="Times New Roman" w:hAnsi="Times New Roman" w:eastAsia="宋体" w:cs="宋体"/>
          <w:sz w:val="24"/>
          <w:szCs w:val="24"/>
          <w:u w:val="single"/>
          <w:lang w:eastAsia="zh-CN"/>
        </w:rPr>
        <w:t>　　　　　　　　　　　　　　</w:t>
      </w:r>
      <w:r>
        <w:rPr>
          <w:rFonts w:hint="eastAsia" w:ascii="Times New Roman" w:hAnsi="Times New Roman" w:eastAsia="宋体" w:cs="宋体"/>
          <w:sz w:val="24"/>
          <w:szCs w:val="24"/>
          <w:lang w:eastAsia="zh-CN"/>
        </w:rPr>
        <w:t>项目（招标编号：</w:t>
      </w:r>
      <w:r>
        <w:rPr>
          <w:rFonts w:hint="eastAsia" w:ascii="Times New Roman" w:hAnsi="Times New Roman" w:eastAsia="宋体" w:cs="宋体"/>
          <w:sz w:val="24"/>
          <w:szCs w:val="24"/>
          <w:u w:val="single"/>
          <w:lang w:eastAsia="zh-CN"/>
        </w:rPr>
        <w:t>　　　　　</w:t>
      </w:r>
      <w:r>
        <w:rPr>
          <w:rFonts w:hint="eastAsia" w:ascii="Times New Roman" w:hAnsi="Times New Roman" w:eastAsia="宋体" w:cs="宋体"/>
          <w:sz w:val="24"/>
          <w:szCs w:val="24"/>
          <w:lang w:eastAsia="zh-CN"/>
        </w:rPr>
        <w:t>），在贵司尚有已结未付款项且数额足够抵扣投标保证金，现要求本次招标项目的投标保证金从已结未付款项中转扣，具体如下：</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1、投标保证金金额：</w:t>
      </w:r>
      <w:r>
        <w:rPr>
          <w:rFonts w:hint="eastAsia" w:ascii="Times New Roman" w:hAnsi="Times New Roman" w:eastAsia="宋体" w:cs="宋体"/>
          <w:sz w:val="24"/>
          <w:szCs w:val="24"/>
          <w:u w:val="single"/>
          <w:lang w:eastAsia="zh-CN"/>
        </w:rPr>
        <w:t>　　　　　</w:t>
      </w:r>
      <w:r>
        <w:rPr>
          <w:rFonts w:hint="eastAsia" w:ascii="Times New Roman" w:hAnsi="Times New Roman" w:eastAsia="宋体" w:cs="宋体"/>
          <w:sz w:val="24"/>
          <w:szCs w:val="24"/>
          <w:lang w:eastAsia="zh-CN"/>
        </w:rPr>
        <w:t>元。</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2、转抵款项形式：□已结未付货款</w:t>
      </w:r>
      <w:r>
        <w:rPr>
          <w:rFonts w:hint="eastAsia" w:ascii="Times New Roman" w:hAnsi="Times New Roman" w:eastAsia="宋体" w:cs="宋体"/>
          <w:sz w:val="24"/>
          <w:szCs w:val="24"/>
          <w:lang w:val="en-US" w:eastAsia="zh-CN"/>
        </w:rPr>
        <w:t xml:space="preserve">     </w:t>
      </w:r>
      <w:r>
        <w:rPr>
          <w:rFonts w:hint="eastAsia" w:ascii="Times New Roman" w:hAnsi="Times New Roman" w:eastAsia="宋体" w:cs="宋体"/>
          <w:sz w:val="24"/>
          <w:szCs w:val="24"/>
          <w:lang w:eastAsia="zh-CN"/>
        </w:rPr>
        <w:t>□到期未退保证金。</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3、我司若中标，同意将投标保证金转为履约保证金。</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val="en-US" w:eastAsia="zh-CN"/>
        </w:rPr>
        <w:t>4、我司若出现法律法规和招标文件规定的关于不予退还投标保证金的情形，同意招标人按相关规定执行，我司对此无任何异议。</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eastAsia="zh-CN"/>
        </w:rPr>
      </w:pP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eastAsia="zh-CN"/>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投标人名称：（盖公章）</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日　期：　　　年　　月　　日</w:t>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spacing w:line="460" w:lineRule="exact"/>
        <w:ind w:firstLine="4800" w:firstLineChars="20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spacing w:line="460" w:lineRule="exact"/>
        <w:ind w:firstLine="4800" w:firstLineChars="2000"/>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spacing w:line="460" w:lineRule="exact"/>
        <w:ind w:firstLine="4800" w:firstLineChars="2000"/>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spacing w:line="460" w:lineRule="exact"/>
        <w:ind w:firstLine="4800" w:firstLineChars="2000"/>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spacing w:line="460" w:lineRule="exact"/>
        <w:ind w:firstLine="4819" w:firstLineChars="2000"/>
        <w:rPr>
          <w:rFonts w:ascii="Times New Roman" w:hAnsi="Times New Roman" w:eastAsia="宋体" w:cs="Times New Roman"/>
          <w:b/>
          <w:bCs/>
          <w:color w:val="auto"/>
          <w:sz w:val="24"/>
          <w:szCs w:val="24"/>
        </w:rPr>
      </w:pPr>
    </w:p>
    <w:p>
      <w:pPr>
        <w:spacing w:line="460" w:lineRule="exact"/>
        <w:ind w:firstLine="4800" w:firstLineChars="20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spacing w:line="460" w:lineRule="exact"/>
        <w:ind w:firstLine="4800" w:firstLineChars="2000"/>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spacing w:line="460" w:lineRule="exact"/>
        <w:ind w:firstLine="4800" w:firstLineChars="2000"/>
        <w:rPr>
          <w:rFonts w:hint="eastAsia" w:ascii="Times New Roman" w:hAnsi="Times New Roman" w:eastAsia="宋体"/>
          <w:color w:val="auto"/>
          <w:sz w:val="24"/>
          <w:szCs w:val="24"/>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outlineLvl w:val="9"/>
        <w:rPr>
          <w:rFonts w:hint="eastAsia" w:ascii="Times New Roman" w:hAnsi="Times New Roman" w:eastAsia="宋体" w:cs="宋体"/>
          <w:sz w:val="28"/>
          <w:szCs w:val="28"/>
          <w:lang w:eastAsia="zh-CN"/>
        </w:rPr>
      </w:pP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3SB166C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4D11A36"/>
    <w:rsid w:val="052B4F28"/>
    <w:rsid w:val="05695BD0"/>
    <w:rsid w:val="05871BB5"/>
    <w:rsid w:val="06DE03E2"/>
    <w:rsid w:val="08CE3975"/>
    <w:rsid w:val="08E72CEF"/>
    <w:rsid w:val="09997EE7"/>
    <w:rsid w:val="09F86387"/>
    <w:rsid w:val="0A037160"/>
    <w:rsid w:val="0AF65C4C"/>
    <w:rsid w:val="0BD679A8"/>
    <w:rsid w:val="0C992A98"/>
    <w:rsid w:val="0D015163"/>
    <w:rsid w:val="0D2A74AE"/>
    <w:rsid w:val="0D592C37"/>
    <w:rsid w:val="0D5F3512"/>
    <w:rsid w:val="0E3C49E1"/>
    <w:rsid w:val="0E8B2E75"/>
    <w:rsid w:val="0F873F05"/>
    <w:rsid w:val="10060E66"/>
    <w:rsid w:val="12BF4032"/>
    <w:rsid w:val="12DC1146"/>
    <w:rsid w:val="140758AC"/>
    <w:rsid w:val="14C052B0"/>
    <w:rsid w:val="16880B6E"/>
    <w:rsid w:val="16A33A8B"/>
    <w:rsid w:val="17E62151"/>
    <w:rsid w:val="19CF43E9"/>
    <w:rsid w:val="19D304ED"/>
    <w:rsid w:val="1A263DD0"/>
    <w:rsid w:val="1A413D1B"/>
    <w:rsid w:val="1C261925"/>
    <w:rsid w:val="1C857027"/>
    <w:rsid w:val="1D1A1A49"/>
    <w:rsid w:val="1F570C40"/>
    <w:rsid w:val="1FDC0B0B"/>
    <w:rsid w:val="1FF477CC"/>
    <w:rsid w:val="20287CB8"/>
    <w:rsid w:val="208E1D71"/>
    <w:rsid w:val="20E5006D"/>
    <w:rsid w:val="21F72B38"/>
    <w:rsid w:val="22A1546C"/>
    <w:rsid w:val="22F02809"/>
    <w:rsid w:val="24C550DC"/>
    <w:rsid w:val="24CA313E"/>
    <w:rsid w:val="25B454E3"/>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8D24906"/>
    <w:rsid w:val="394D2CDE"/>
    <w:rsid w:val="39E9615C"/>
    <w:rsid w:val="3BC53092"/>
    <w:rsid w:val="3C5513A3"/>
    <w:rsid w:val="3C584342"/>
    <w:rsid w:val="3C7C5725"/>
    <w:rsid w:val="3D9A2B8C"/>
    <w:rsid w:val="3E4F62F6"/>
    <w:rsid w:val="3E832FBD"/>
    <w:rsid w:val="3EF50209"/>
    <w:rsid w:val="3F455623"/>
    <w:rsid w:val="3F550899"/>
    <w:rsid w:val="3F731E14"/>
    <w:rsid w:val="3F7334C5"/>
    <w:rsid w:val="40AA422C"/>
    <w:rsid w:val="41C92E33"/>
    <w:rsid w:val="44082718"/>
    <w:rsid w:val="47BB01F2"/>
    <w:rsid w:val="47C60904"/>
    <w:rsid w:val="4810454C"/>
    <w:rsid w:val="48571F9B"/>
    <w:rsid w:val="485A1FE6"/>
    <w:rsid w:val="494848CE"/>
    <w:rsid w:val="4ACF470A"/>
    <w:rsid w:val="50635474"/>
    <w:rsid w:val="510D00AA"/>
    <w:rsid w:val="53B91808"/>
    <w:rsid w:val="54585E17"/>
    <w:rsid w:val="55867334"/>
    <w:rsid w:val="55912732"/>
    <w:rsid w:val="574E15B7"/>
    <w:rsid w:val="598757BF"/>
    <w:rsid w:val="5A105A15"/>
    <w:rsid w:val="5D23354B"/>
    <w:rsid w:val="5D785372"/>
    <w:rsid w:val="5D94260B"/>
    <w:rsid w:val="5DAE499A"/>
    <w:rsid w:val="5F194A83"/>
    <w:rsid w:val="5F6F0FB4"/>
    <w:rsid w:val="5FF8694B"/>
    <w:rsid w:val="610928EA"/>
    <w:rsid w:val="62A84C8F"/>
    <w:rsid w:val="63A30CC0"/>
    <w:rsid w:val="63F071FB"/>
    <w:rsid w:val="64DB1FB5"/>
    <w:rsid w:val="655834F7"/>
    <w:rsid w:val="661C08AC"/>
    <w:rsid w:val="67157C63"/>
    <w:rsid w:val="674E2FFC"/>
    <w:rsid w:val="67695FF5"/>
    <w:rsid w:val="68E3273E"/>
    <w:rsid w:val="69CB5362"/>
    <w:rsid w:val="6AF32396"/>
    <w:rsid w:val="6AF86597"/>
    <w:rsid w:val="6B0726BC"/>
    <w:rsid w:val="6B773290"/>
    <w:rsid w:val="6BC23D95"/>
    <w:rsid w:val="6CB025BF"/>
    <w:rsid w:val="6D0F5985"/>
    <w:rsid w:val="6DEC5843"/>
    <w:rsid w:val="701A7798"/>
    <w:rsid w:val="71E749FC"/>
    <w:rsid w:val="71F55825"/>
    <w:rsid w:val="71FA0AA6"/>
    <w:rsid w:val="73C26E33"/>
    <w:rsid w:val="74D1558C"/>
    <w:rsid w:val="759C6C29"/>
    <w:rsid w:val="76EF5943"/>
    <w:rsid w:val="773131F3"/>
    <w:rsid w:val="779E373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adjustRightInd w:val="0"/>
      <w:snapToGrid w:val="0"/>
      <w:spacing w:after="48" w:afterLines="20" w:line="260" w:lineRule="atLeast"/>
      <w:ind w:firstLine="360" w:firstLineChars="171"/>
      <w:outlineLvl w:val="1"/>
    </w:pPr>
    <w:rPr>
      <w:rFonts w:ascii="宋体" w:hAnsi="宋体" w:eastAsia="宋体" w:cs="Times New Roman"/>
      <w:b/>
      <w:bCs/>
      <w:kern w:val="0"/>
      <w:szCs w:val="21"/>
    </w:rPr>
  </w:style>
  <w:style w:type="character" w:default="1" w:styleId="8">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Plain Text"/>
    <w:basedOn w:val="1"/>
    <w:qFormat/>
    <w:uiPriority w:val="0"/>
    <w:pPr>
      <w:adjustRightInd w:val="0"/>
      <w:spacing w:line="360" w:lineRule="atLeast"/>
      <w:textAlignment w:val="baseline"/>
    </w:pPr>
    <w:rPr>
      <w:rFonts w:ascii="宋体" w:hAnsi="Courier New"/>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9">
    <w:name w:val="Strong"/>
    <w:basedOn w:val="8"/>
    <w:qFormat/>
    <w:uiPriority w:val="0"/>
    <w:rPr>
      <w:b/>
      <w:bCs/>
    </w:rPr>
  </w:style>
  <w:style w:type="character" w:styleId="10">
    <w:name w:val="page number"/>
    <w:basedOn w:val="8"/>
    <w:qFormat/>
    <w:uiPriority w:val="0"/>
  </w:style>
  <w:style w:type="character" w:styleId="11">
    <w:name w:val="Hyperlink"/>
    <w:basedOn w:val="8"/>
    <w:unhideWhenUsed/>
    <w:qFormat/>
    <w:uiPriority w:val="99"/>
    <w:rPr>
      <w:color w:val="0000FF"/>
      <w:u w:val="single"/>
    </w:rPr>
  </w:style>
  <w:style w:type="table" w:styleId="13">
    <w:name w:val="Table Grid"/>
    <w:basedOn w:val="1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4">
    <w:name w:val="List Paragraph"/>
    <w:basedOn w:val="1"/>
    <w:qFormat/>
    <w:uiPriority w:val="34"/>
    <w:pPr>
      <w:ind w:firstLine="420" w:firstLineChars="200"/>
    </w:pPr>
  </w:style>
  <w:style w:type="paragraph" w:customStyle="1" w:styleId="15">
    <w:name w:val="Table Paragraph"/>
    <w:basedOn w:val="1"/>
    <w:unhideWhenUsed/>
    <w:qFormat/>
    <w:uiPriority w:val="1"/>
    <w:pPr>
      <w:spacing w:before="48" w:beforeLines="0" w:afterLines="0"/>
      <w:ind w:left="61"/>
    </w:pPr>
    <w:rPr>
      <w:rFonts w:hint="eastAsia"/>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2023-08-14T07:08:28Z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