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：制浆分厂C42减速机修理</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2.1设备参数：</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型号：4PC560、1台      品牌：山东华成中德传动设备有限公司</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序列号：S0961810        制造号：T27123</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2.2维护修理内容：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2.2.1制浆分厂C42减速机在使用过程中因负荷变化导致前三级齿轮、齿轮轴及轴承损坏。减速机结构较复杂，对装配要求较高，需更换齿轮、齿轮轴及轴承更换、间隙调整等。</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2.2.2更换零部件清单：（以下“乙供”指中标人提供）</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（1）第一级齿轮轴（即输入轴，其余以此类推，乙供1件）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（2）第一级齿轮（乙供1件）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（3）第二级齿轮轴（乙供1件）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（4）第二级齿轮（乙供1件）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（5）第三级齿轮轴（乙供1件）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（6）第三级齿轮（乙供1件）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（7）轴承22311C3（选用SKF、NSK、TIMKEN或同等品牌轴承，乙供1件）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（8）轴承22312C3（选用SKF、NSK、TIMKEN或同等品牌轴承，乙供1件）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（9）轴承22314C3（选用SKF、NSK、TIMKEN或同等品牌轴承，乙供1件）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（10）轴承22316C3（选用SKF、NSK、TIMKEN或同等品牌轴承，乙供1件）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（11）轴承22322C3（选用SKF、NSK、TIMKEN或同等品牌轴承，乙供2件）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（12）油封BAUMSLX7 70-100-10（乙供1件）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（13）油封BAUMSLX7 220-250-15（乙供1件）</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（14）箱体内部清洗维护维修、壳体清洗。（乙供1项）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备注：本招标文件中提及的品牌均为参考品牌。投标人可以直接选用参考品牌中的一种，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2.2.3包工包料修理，更换下的旧件需归还招标方，运输就近负责，。</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2.2.4设备修理调试结束，出具证书，才能交付招标方使用。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2.2.5说明：</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（1）设备维修过程中相关内容如上述方案中未涉及，增加的维修工作及费用由双方友好协商解决。</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（2）所有更换的零部件和修理在投标时必须列出维修更换部件清单，同时说明维修内容；维修过程中如出现不在上述备件清单的零部件需要更换相关费用另计。</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bCs w:val="0"/>
          <w:color w:val="auto"/>
          <w:sz w:val="24"/>
          <w:szCs w:val="24"/>
          <w:lang w:val="en-US" w:eastAsia="zh-CN"/>
        </w:rPr>
      </w:pPr>
      <w:r>
        <w:rPr>
          <w:rFonts w:hint="eastAsia" w:ascii="Times New Roman" w:hAnsi="Times New Roman" w:eastAsia="宋体"/>
          <w:b/>
          <w:bCs w:val="0"/>
          <w:color w:val="auto"/>
          <w:sz w:val="24"/>
          <w:szCs w:val="24"/>
          <w:lang w:val="en-US" w:eastAsia="zh-CN"/>
        </w:rPr>
        <w:t>2.3验收要求：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按照原厂家的制造和运行标准验收，同时满足招标方的生产要求。</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bCs w:val="0"/>
          <w:color w:val="auto"/>
          <w:sz w:val="24"/>
          <w:szCs w:val="24"/>
          <w:lang w:val="en-US" w:eastAsia="zh-CN"/>
        </w:rPr>
        <w:t>3.交货时间及地点</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3.1交货时间：投标文件中注明修理交货时间。</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3.2交货地点：福建省三明市沙县区青州镇福建省青山纸业股份有限公司指定区域内。</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4.1投标人应是独立法人资格，有资质和能力提供修理服务、信用良好的国内企业或国际企业。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4.2非实际修理厂家的投标人须提供代理证书。</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val="0"/>
          <w:bCs/>
          <w:color w:val="auto"/>
          <w:sz w:val="24"/>
          <w:szCs w:val="24"/>
          <w:lang w:val="en-US" w:eastAsia="zh-CN"/>
        </w:rPr>
        <w:t>4.3非原厂家的投标人须提供类似修理业绩，以合同复印件为准。</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：质量保证期为项目验收合格后12个月</w:t>
      </w:r>
      <w:r>
        <w:rPr>
          <w:rFonts w:hint="eastAsia" w:ascii="Times New Roman" w:hAnsi="Times New Roman" w:eastAsia="宋体"/>
          <w:b w:val="0"/>
          <w:bCs/>
          <w:color w:val="auto"/>
          <w:sz w:val="24"/>
          <w:szCs w:val="24"/>
        </w:rPr>
        <w:t>，投标人可承诺更长的质保期。</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.付款方式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.1本工程不支付预付款和进度款，项目验收合格后招标方财务部收到全额发票45天支付工程总合同价的90%（银行承兑汇票），质保金为总合同价的10</w:t>
      </w:r>
      <w:r>
        <w:rPr>
          <w:rFonts w:hint="eastAsia" w:ascii="Times New Roman" w:hAnsi="Times New Roman" w:eastAsia="宋体"/>
          <w:b w:val="0"/>
          <w:bCs/>
          <w:color w:val="auto"/>
          <w:sz w:val="24"/>
          <w:szCs w:val="24"/>
          <w:lang w:val="en-US" w:eastAsia="zh-CN"/>
        </w:rPr>
        <w:t>%</w:t>
      </w:r>
      <w:r>
        <w:rPr>
          <w:rFonts w:hint="eastAsia" w:ascii="Times New Roman" w:hAnsi="Times New Roman" w:eastAsia="宋体"/>
          <w:b w:val="0"/>
          <w:bCs/>
          <w:color w:val="auto"/>
          <w:sz w:val="24"/>
          <w:szCs w:val="24"/>
          <w:lang w:eastAsia="zh-CN"/>
        </w:rPr>
        <w:t>，在质保期满后三十天内付清，质保金不计利息。人民币报价和结算，中标人开具13%增值税专用发票。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.2发票要求：</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.2.1中标人须为招标人开具合法、有效、完整、准确的增值税专用发票。中标人提供增值税发票税率为【13%】。</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2.2中标人承诺，如招标人或任何第三方（包括但不限于招标人财务部、审计部、政府税务机关、独立审计机构）在任何时候发现中标人开具的发票不符合要求或存在开具无效票据（如伪造、变造、虚开、作废等），中标人应在税务机关发现或招标人通知之日起5日内重新为招标人开具合法合规符合要求的增值税发票，并承担招标人由此所产生的全部损失（包括但不限于税款、滞纳金、行政处罚等）。如中标人因开具不符合要求的发票而受到有权机关处罚，该等处罚不能作为中标人减轻或免除按照上述约定应向招标人承担责任的理由。</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2.3出现以上情形后，若中标人拒不提供或延期提供票据，则招标人有权拒付或延期支付剩余款项，同时中标人还应向招标人支付所提供不合规发票票面总额【30%】的违约金，如给招标人造成其他损失的，中标人应予赔偿。本款中招标人拒收发票，或招标人暂停支付款项等行为，不视为招标人违约，中标人不得以此为由中止履行合同约定的义务。中标人自愿放弃请求调整违约金的权利。</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2.4招标人有权在应付中标人的任何款项中扣除中标人应向招标人支付的违约金及损失赔偿金等，若招标人从应付中标人的款项中扣除了违约金、损失赔偿额等款项的，中标人仍应按扣除前的含税合同金额开具增值税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val="0"/>
          <w:bCs/>
          <w:color w:val="auto"/>
          <w:sz w:val="24"/>
          <w:szCs w:val="24"/>
          <w:lang w:val="en-US" w:eastAsia="zh-CN"/>
        </w:rPr>
        <w:t>6</w:t>
      </w:r>
      <w:r>
        <w:rPr>
          <w:rFonts w:hint="eastAsia" w:ascii="Times New Roman" w:hAnsi="Times New Roman" w:eastAsia="宋体"/>
          <w:b w:val="0"/>
          <w:bCs/>
          <w:color w:val="auto"/>
          <w:sz w:val="24"/>
          <w:szCs w:val="24"/>
          <w:lang w:eastAsia="zh-CN"/>
        </w:rPr>
        <w:t>.2.5若中标人由一般纳税人身份变为小规模纳税人身份的，或计税方法、政策法规规范性文件发生变化的，并导致招标人可抵扣的进项税额减少或被税务机关要求补缴税款的，减少的进项税额或补缴的税款由中标人承担，招标人有权从应付中标人的款项中扣除。</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bCs w:val="0"/>
          <w:color w:val="auto"/>
          <w:sz w:val="24"/>
          <w:szCs w:val="24"/>
          <w:lang w:val="en-US" w:eastAsia="zh-CN"/>
        </w:rPr>
        <w:t>6</w:t>
      </w:r>
      <w:r>
        <w:rPr>
          <w:rFonts w:hint="eastAsia" w:ascii="Times New Roman" w:hAnsi="Times New Roman" w:eastAsia="宋体"/>
          <w:b/>
          <w:bCs w:val="0"/>
          <w:color w:val="auto"/>
          <w:sz w:val="24"/>
          <w:szCs w:val="24"/>
          <w:lang w:eastAsia="zh-CN"/>
        </w:rPr>
        <w:t>.3付款方式不得偏离，否则投标将被否决。</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7</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7.1技术培训、现场安装指导、调试、试机直至验收等费用，该报价包含在投标总价中，中标人须开具13%增值税专用发票。</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7.2本次招标采取一次性报价方式。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7.3本次招标</w:t>
      </w:r>
      <w:r>
        <w:rPr>
          <w:rFonts w:hint="eastAsia" w:ascii="Times New Roman" w:hAnsi="Times New Roman" w:eastAsia="宋体"/>
          <w:color w:val="auto"/>
          <w:sz w:val="24"/>
          <w:szCs w:val="24"/>
          <w:lang w:eastAsia="zh-CN"/>
        </w:rPr>
        <w:t>设置招标控制价</w:t>
      </w:r>
      <w:r>
        <w:rPr>
          <w:rFonts w:hint="eastAsia" w:ascii="Times New Roman" w:hAnsi="Times New Roman" w:eastAsia="宋体"/>
          <w:color w:val="auto"/>
          <w:sz w:val="24"/>
          <w:szCs w:val="24"/>
        </w:rPr>
        <w:t>为人民币壹拾陆万</w:t>
      </w:r>
      <w:r>
        <w:rPr>
          <w:rFonts w:hint="eastAsia" w:ascii="Times New Roman" w:hAnsi="Times New Roman" w:eastAsia="宋体"/>
          <w:color w:val="auto"/>
          <w:sz w:val="24"/>
          <w:szCs w:val="24"/>
          <w:lang w:eastAsia="zh-CN"/>
        </w:rPr>
        <w:t>元</w:t>
      </w:r>
      <w:r>
        <w:rPr>
          <w:rFonts w:hint="eastAsia" w:ascii="Times New Roman" w:hAnsi="Times New Roman" w:eastAsia="宋体"/>
          <w:color w:val="auto"/>
          <w:sz w:val="24"/>
          <w:szCs w:val="24"/>
        </w:rPr>
        <w:t>整（</w:t>
      </w:r>
      <w:r>
        <w:rPr>
          <w:rFonts w:hint="eastAsia" w:ascii="Times New Roman" w:hAnsi="Times New Roman" w:eastAsia="宋体"/>
          <w:color w:val="auto"/>
          <w:sz w:val="24"/>
          <w:szCs w:val="24"/>
          <w:lang w:val="en-US" w:eastAsia="zh-CN"/>
        </w:rPr>
        <w:t>¥</w:t>
      </w: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6</w:t>
      </w:r>
      <w:r>
        <w:rPr>
          <w:rFonts w:hint="eastAsia" w:ascii="Times New Roman" w:hAnsi="Times New Roman" w:eastAsia="宋体"/>
          <w:color w:val="auto"/>
          <w:sz w:val="24"/>
          <w:szCs w:val="24"/>
        </w:rPr>
        <w:t>0000）</w:t>
      </w:r>
      <w:r>
        <w:rPr>
          <w:rFonts w:hint="eastAsia" w:ascii="Times New Roman" w:hAnsi="Times New Roman" w:eastAsia="宋体"/>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8.1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8.2投标人报价超过招标控制价的，则否决其投标。</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8.3</w:t>
      </w:r>
      <w:r>
        <w:rPr>
          <w:rFonts w:ascii="Times New Roman" w:hAnsi="Times New Roman" w:eastAsia="宋体"/>
          <w:color w:val="auto"/>
          <w:sz w:val="24"/>
          <w:szCs w:val="24"/>
        </w:rPr>
        <w:t>评分项目：</w:t>
      </w:r>
    </w:p>
    <w:tbl>
      <w:tblPr>
        <w:tblStyle w:val="12"/>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F=60-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363"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①设备满足招标文件要求的程度：10分；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②技术性能、制造水平及产品特点：25分；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③不满足设备规格及技术要求的，按废标处理。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质保</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①类似业绩（</w:t>
            </w:r>
            <w:r>
              <w:rPr>
                <w:rFonts w:hint="eastAsia" w:ascii="Times New Roman" w:hAnsi="Times New Roman" w:eastAsia="宋体" w:cs="Times New Roman"/>
                <w:color w:val="auto"/>
                <w:kern w:val="0"/>
                <w:szCs w:val="21"/>
                <w:lang w:val="en-US" w:eastAsia="zh-CN"/>
              </w:rPr>
              <w:t>3</w:t>
            </w:r>
            <w:r>
              <w:rPr>
                <w:rFonts w:hint="eastAsia" w:ascii="Times New Roman" w:hAnsi="Times New Roman" w:eastAsia="宋体" w:cs="Times New Roman"/>
                <w:color w:val="auto"/>
                <w:kern w:val="0"/>
                <w:szCs w:val="21"/>
                <w:lang w:eastAsia="zh-CN"/>
              </w:rPr>
              <w:t>分）：1分/份合同，以合同复印件为准。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②售后服务（2分）：质保期1年为1分，每增加6个月得0.5分。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宋体" w:hAnsi="宋体" w:eastAsia="宋体" w:cs="宋体"/>
                <w:color w:val="auto"/>
                <w:kern w:val="0"/>
                <w:szCs w:val="21"/>
                <w:lang w:val="en-US" w:eastAsia="zh-CN"/>
              </w:rPr>
              <w:t>/</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color w:val="auto"/>
                <w:kern w:val="0"/>
                <w:szCs w:val="21"/>
                <w:lang w:val="en-US" w:eastAsia="zh-CN"/>
              </w:rPr>
              <w:t>付款方式不得偏离，否则投标将被否决。</w:t>
            </w:r>
          </w:p>
        </w:tc>
      </w:tr>
    </w:tbl>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22</w:t>
      </w:r>
      <w:r>
        <w:rPr>
          <w:rFonts w:ascii="Times New Roman" w:hAnsi="Times New Roman" w:eastAsia="宋体"/>
          <w:color w:val="auto"/>
          <w:sz w:val="24"/>
          <w:szCs w:val="24"/>
        </w:rPr>
        <w:t>日</w:t>
      </w:r>
      <w:r>
        <w:rPr>
          <w:rFonts w:hint="eastAsia" w:ascii="Times New Roman" w:hAnsi="Times New Roman" w:eastAsia="宋体"/>
          <w:color w:val="auto"/>
          <w:sz w:val="24"/>
          <w:szCs w:val="24"/>
        </w:rPr>
        <w:t>1</w:t>
      </w:r>
      <w:r>
        <w:rPr>
          <w:rFonts w:hint="eastAsia" w:ascii="Times New Roman" w:hAnsi="Times New Roman"/>
          <w:color w:val="auto"/>
          <w:sz w:val="24"/>
          <w:szCs w:val="24"/>
          <w:lang w:val="en-US" w:eastAsia="zh-CN"/>
        </w:rPr>
        <w:t>0</w:t>
      </w:r>
      <w:r>
        <w:rPr>
          <w:rFonts w:hint="eastAsia" w:ascii="Times New Roman" w:hAnsi="Times New Roman" w:eastAsia="宋体"/>
          <w:color w:val="auto"/>
          <w:sz w:val="24"/>
          <w:szCs w:val="24"/>
        </w:rPr>
        <w:t>:</w:t>
      </w:r>
      <w:r>
        <w:rPr>
          <w:rFonts w:hint="eastAsia" w:ascii="Times New Roman" w:hAnsi="Times New Roman"/>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w:t>
      </w:r>
      <w:r>
        <w:rPr>
          <w:rFonts w:ascii="Times New Roman" w:hAnsi="Times New Roman" w:eastAsia="宋体"/>
          <w:color w:val="auto"/>
          <w:sz w:val="24"/>
          <w:szCs w:val="24"/>
          <w:highlight w:val="none"/>
        </w:rPr>
        <w:t>楼招标办会议室公开开标。</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9</w:t>
      </w:r>
      <w:r>
        <w:rPr>
          <w:rFonts w:ascii="Times New Roman" w:hAnsi="Times New Roman" w:eastAsia="宋体"/>
          <w:color w:val="auto"/>
          <w:sz w:val="24"/>
          <w:szCs w:val="24"/>
          <w:highlight w:val="none"/>
        </w:rPr>
        <w:t>.2参与方式：</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以下三种参与方式投标人可任选一种</w:t>
      </w:r>
      <w:r>
        <w:rPr>
          <w:rFonts w:hint="eastAsia" w:ascii="Times New Roman" w:hAnsi="Times New Roman" w:eastAsia="宋体"/>
          <w:color w:val="auto"/>
          <w:sz w:val="24"/>
          <w:szCs w:val="24"/>
          <w:highlight w:val="none"/>
          <w:lang w:eastAsia="zh-CN"/>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9</w:t>
      </w:r>
      <w:r>
        <w:rPr>
          <w:rFonts w:hint="eastAsia" w:ascii="Times New Roman" w:hAnsi="Times New Roman" w:eastAsia="宋体"/>
          <w:color w:val="auto"/>
          <w:sz w:val="24"/>
          <w:szCs w:val="24"/>
          <w:highlight w:val="none"/>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9.2.3网络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highlight w:val="none"/>
          <w:lang w:val="en-US" w:eastAsia="zh-CN"/>
        </w:rPr>
        <w:t>3000</w:t>
      </w:r>
      <w:r>
        <w:rPr>
          <w:rFonts w:ascii="Times New Roman" w:hAnsi="Times New Roman" w:eastAsia="宋体"/>
          <w:color w:val="auto"/>
          <w:sz w:val="24"/>
          <w:szCs w:val="24"/>
          <w:highlight w:val="none"/>
        </w:rPr>
        <w:t>元。</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.2.1银行电汇；（开户银行：工商银行沙县青州支行、账户名：福建省青山纸业股份有限公司、账号：1404049409001000160。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b/>
          <w:bCs/>
          <w:color w:val="FF0000"/>
          <w:sz w:val="24"/>
          <w:szCs w:val="24"/>
        </w:rPr>
        <w:t>汇款人须注明</w:t>
      </w:r>
      <w:r>
        <w:rPr>
          <w:rFonts w:hint="eastAsia" w:ascii="Times New Roman" w:hAnsi="Times New Roman" w:eastAsia="宋体"/>
          <w:b/>
          <w:bCs/>
          <w:color w:val="FF0000"/>
          <w:sz w:val="24"/>
          <w:szCs w:val="24"/>
        </w:rPr>
        <w:t>参与的招标编号</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.2.2投标保证金函；若本公司与投标人尚有</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（各类未到期的保证金除外）且数额足够抵扣投标保证金时，投标人可出具正式公函明确要求本公司从其</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中转扣</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w:t>
      </w:r>
      <w:r>
        <w:rPr>
          <w:rFonts w:hint="eastAsia" w:ascii="Times New Roman" w:hAnsi="Times New Roman" w:eastAsia="宋体"/>
          <w:color w:val="auto"/>
          <w:sz w:val="24"/>
          <w:szCs w:val="24"/>
          <w:u w:val="none"/>
          <w:lang w:eastAsia="zh-CN"/>
        </w:rPr>
        <w:t>格式见附件</w:t>
      </w:r>
      <w:r>
        <w:rPr>
          <w:rFonts w:hint="eastAsia" w:ascii="Times New Roman" w:hAnsi="Times New Roman" w:eastAsia="宋体"/>
          <w:color w:val="auto"/>
          <w:sz w:val="24"/>
          <w:szCs w:val="24"/>
          <w:u w:val="none"/>
          <w:lang w:val="en-US" w:eastAsia="zh-CN"/>
        </w:rPr>
        <w:t>1</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.4未中标的投标人的投标保证金，以电汇形式的将在一星期内退还；以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转抵形式的将转回</w:t>
      </w:r>
      <w:r>
        <w:rPr>
          <w:rFonts w:hint="eastAsia" w:ascii="Times New Roman" w:hAnsi="Times New Roman" w:eastAsia="宋体"/>
          <w:b w:val="0"/>
          <w:bCs w:val="0"/>
          <w:color w:val="auto"/>
          <w:sz w:val="24"/>
          <w:szCs w:val="24"/>
          <w:lang w:eastAsia="zh-CN"/>
        </w:rPr>
        <w:t>已结未付</w:t>
      </w:r>
      <w:r>
        <w:rPr>
          <w:rFonts w:hint="eastAsia" w:ascii="Times New Roman" w:hAnsi="Times New Roman" w:eastAsia="宋体"/>
          <w:color w:val="auto"/>
          <w:sz w:val="24"/>
          <w:szCs w:val="24"/>
          <w:lang w:eastAsia="zh-CN"/>
        </w:rPr>
        <w:t>款项</w:t>
      </w:r>
      <w:r>
        <w:rPr>
          <w:rFonts w:ascii="Times New Roman" w:hAnsi="Times New Roman" w:eastAsia="宋体"/>
          <w:color w:val="auto"/>
          <w:sz w:val="24"/>
          <w:szCs w:val="24"/>
        </w:rPr>
        <w:t>并按正常渠道结算。</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0</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1</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11.1.1投标保证金凭证：银行电汇回单或投标保证金函。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工</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1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Style w:val="11"/>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1"/>
          <w:rFonts w:hint="eastAsia" w:ascii="Times New Roman" w:hAnsi="Times New Roman" w:eastAsia="宋体" w:cs="Times New Roman"/>
          <w:color w:val="auto"/>
          <w:sz w:val="24"/>
          <w:szCs w:val="24"/>
          <w:u w:val="none"/>
          <w:shd w:val="clear" w:color="auto" w:fill="FFFFFF"/>
          <w:lang w:eastAsia="zh-CN"/>
        </w:rPr>
        <w:fldChar w:fldCharType="begin"/>
      </w:r>
      <w:r>
        <w:rPr>
          <w:rStyle w:val="11"/>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1"/>
          <w:rFonts w:hint="eastAsia" w:ascii="Times New Roman" w:hAnsi="Times New Roman" w:eastAsia="宋体" w:cs="Times New Roman"/>
          <w:color w:val="auto"/>
          <w:sz w:val="24"/>
          <w:szCs w:val="24"/>
          <w:u w:val="none"/>
          <w:shd w:val="clear" w:color="auto" w:fill="FFFFFF"/>
          <w:lang w:eastAsia="zh-CN"/>
        </w:rPr>
        <w:fldChar w:fldCharType="separate"/>
      </w:r>
      <w:r>
        <w:rPr>
          <w:rStyle w:val="11"/>
          <w:rFonts w:hint="eastAsia" w:ascii="Times New Roman" w:hAnsi="Times New Roman" w:eastAsia="宋体" w:cs="Times New Roman"/>
          <w:sz w:val="24"/>
          <w:szCs w:val="24"/>
          <w:shd w:val="clear" w:color="auto" w:fill="FFFFFF"/>
          <w:lang w:eastAsia="zh-CN"/>
        </w:rPr>
        <w:t>www.fjqfkg.com</w:t>
      </w:r>
      <w:r>
        <w:rPr>
          <w:rStyle w:val="11"/>
          <w:rFonts w:hint="eastAsia" w:ascii="Times New Roman" w:hAnsi="Times New Roman" w:eastAsia="宋体" w:cs="Times New Roman"/>
          <w:color w:val="auto"/>
          <w:sz w:val="24"/>
          <w:szCs w:val="24"/>
          <w:u w:val="none"/>
          <w:shd w:val="clear" w:color="auto" w:fill="FFFFFF"/>
          <w:lang w:eastAsia="zh-CN"/>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1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14.</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1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技术联系人：黄志中13559098500</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商务联系人：陈初发0598-5658513</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投标保证金函</w:t>
      </w:r>
      <w:r>
        <w:rPr>
          <w:rFonts w:hint="eastAsia" w:ascii="Times New Roman" w:hAnsi="Times New Roman" w:eastAsia="宋体"/>
          <w:color w:val="auto"/>
          <w:sz w:val="24"/>
          <w:szCs w:val="24"/>
        </w:rPr>
        <w:t>（格式）</w:t>
      </w:r>
    </w:p>
    <w:p>
      <w:pPr>
        <w:keepNext w:val="0"/>
        <w:keepLines w:val="0"/>
        <w:pageBreakBefore w:val="0"/>
        <w:widowControl w:val="0"/>
        <w:kinsoku/>
        <w:overflowPunct/>
        <w:topLinePunct w:val="0"/>
        <w:autoSpaceDE/>
        <w:autoSpaceDN/>
        <w:bidi w:val="0"/>
        <w:adjustRightInd/>
        <w:snapToGrid/>
        <w:spacing w:line="41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法</w:t>
      </w:r>
      <w:bookmarkStart w:id="0" w:name="_GoBack"/>
      <w:bookmarkEnd w:id="0"/>
      <w:r>
        <w:rPr>
          <w:rFonts w:hint="eastAsia" w:ascii="Times New Roman" w:hAnsi="Times New Roman" w:eastAsia="宋体"/>
          <w:color w:val="auto"/>
          <w:sz w:val="24"/>
          <w:szCs w:val="24"/>
        </w:rPr>
        <w:t>定代表人授权书（格式）</w:t>
      </w:r>
    </w:p>
    <w:p>
      <w:pPr>
        <w:keepNext w:val="0"/>
        <w:keepLines w:val="0"/>
        <w:pageBreakBefore w:val="0"/>
        <w:widowControl w:val="0"/>
        <w:kinsoku/>
        <w:overflowPunct/>
        <w:topLinePunct w:val="0"/>
        <w:autoSpaceDE/>
        <w:autoSpaceDN/>
        <w:bidi w:val="0"/>
        <w:adjustRightInd/>
        <w:snapToGrid/>
        <w:spacing w:line="240" w:lineRule="auto"/>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1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10" w:lineRule="exact"/>
        <w:ind w:firstLine="0" w:firstLineChars="0"/>
        <w:jc w:val="right"/>
        <w:textAlignment w:val="auto"/>
        <w:rPr>
          <w:rFonts w:hint="eastAsia" w:ascii="Times New Roman" w:hAnsi="Times New Roman" w:eastAsia="宋体" w:cs="Times New Roman"/>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8</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14</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eastAsia="zh-CN"/>
        </w:rPr>
        <w:t>附件</w:t>
      </w:r>
      <w:r>
        <w:rPr>
          <w:rFonts w:hint="eastAsia" w:ascii="Times New Roman" w:hAnsi="Times New Roman" w:eastAsia="宋体" w:cs="宋体"/>
          <w:sz w:val="24"/>
          <w:szCs w:val="24"/>
          <w:lang w:val="en-US" w:eastAsia="zh-CN"/>
        </w:rPr>
        <w:t>1：投标保证金函（格式）</w:t>
      </w:r>
    </w:p>
    <w:p>
      <w:pPr>
        <w:keepNext w:val="0"/>
        <w:keepLines w:val="0"/>
        <w:pageBreakBefore w:val="0"/>
        <w:widowControl/>
        <w:kinsoku/>
        <w:wordWrap/>
        <w:overflowPunct/>
        <w:topLinePunct w:val="0"/>
        <w:autoSpaceDE/>
        <w:autoSpaceDN/>
        <w:bidi w:val="0"/>
        <w:adjustRightInd/>
        <w:snapToGrid/>
        <w:spacing w:line="440" w:lineRule="exact"/>
        <w:jc w:val="left"/>
        <w:textAlignment w:val="auto"/>
        <w:outlineLvl w:val="9"/>
        <w:rPr>
          <w:rFonts w:hint="eastAsia" w:ascii="Times New Roman" w:hAnsi="Times New Roman" w:eastAsia="宋体" w:cs="宋体"/>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after="157" w:afterLines="50" w:line="240" w:lineRule="auto"/>
        <w:jc w:val="center"/>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b/>
          <w:bCs/>
          <w:spacing w:val="20"/>
          <w:sz w:val="30"/>
          <w:szCs w:val="30"/>
          <w:lang w:eastAsia="zh-CN"/>
        </w:rPr>
        <w:t>投标保证金函</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我司参与投标</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项目（招标编号：</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），在贵司尚有已结未付款项且数额足够抵扣投标保证金，现要求本次招标项目的投标保证金从已结未付款项中转扣，具体如下：</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1、投标保证金金额：</w:t>
      </w:r>
      <w:r>
        <w:rPr>
          <w:rFonts w:hint="eastAsia" w:ascii="Times New Roman" w:hAnsi="Times New Roman" w:eastAsia="宋体" w:cs="宋体"/>
          <w:sz w:val="28"/>
          <w:szCs w:val="28"/>
          <w:u w:val="single"/>
          <w:lang w:eastAsia="zh-CN"/>
        </w:rPr>
        <w:t>　　　　　</w:t>
      </w:r>
      <w:r>
        <w:rPr>
          <w:rFonts w:hint="eastAsia" w:ascii="Times New Roman" w:hAnsi="Times New Roman" w:eastAsia="宋体" w:cs="宋体"/>
          <w:sz w:val="28"/>
          <w:szCs w:val="28"/>
          <w:lang w:eastAsia="zh-CN"/>
        </w:rPr>
        <w:t>元。</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2、转抵款项形式：□已结未付货款</w:t>
      </w:r>
      <w:r>
        <w:rPr>
          <w:rFonts w:hint="eastAsia" w:ascii="Times New Roman" w:hAnsi="Times New Roman" w:eastAsia="宋体" w:cs="宋体"/>
          <w:sz w:val="28"/>
          <w:szCs w:val="28"/>
          <w:lang w:val="en-US" w:eastAsia="zh-CN"/>
        </w:rPr>
        <w:t xml:space="preserve">     </w:t>
      </w:r>
      <w:r>
        <w:rPr>
          <w:rFonts w:hint="eastAsia" w:ascii="Times New Roman" w:hAnsi="Times New Roman" w:eastAsia="宋体" w:cs="宋体"/>
          <w:sz w:val="28"/>
          <w:szCs w:val="28"/>
          <w:lang w:eastAsia="zh-CN"/>
        </w:rPr>
        <w:t>□到期未退保证金。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3、我司若中标，同意将投标保证金转为履约保证金。</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outlineLvl w:val="9"/>
        <w:rPr>
          <w:rFonts w:hint="eastAsia" w:ascii="Times New Roman" w:hAnsi="Times New Roman" w:eastAsia="宋体" w:cs="宋体"/>
          <w:sz w:val="28"/>
          <w:szCs w:val="28"/>
          <w:lang w:val="en-US" w:eastAsia="zh-CN"/>
        </w:rPr>
      </w:pPr>
      <w:r>
        <w:rPr>
          <w:rFonts w:hint="eastAsia" w:ascii="Times New Roman" w:hAnsi="Times New Roman" w:eastAsia="宋体" w:cs="宋体"/>
          <w:sz w:val="28"/>
          <w:szCs w:val="28"/>
          <w:lang w:val="en-US" w:eastAsia="zh-CN"/>
        </w:rPr>
        <w:t>4、我司若出现法律法规和招标文件规定的关于不予退还投标保证金的情形，同意招标人按相关规定执行，我司对此无任何异议。</w:t>
      </w: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outlineLvl w:val="9"/>
        <w:rPr>
          <w:rFonts w:hint="eastAsia" w:ascii="Times New Roman" w:hAnsi="Times New Roman" w:eastAsia="宋体" w:cs="宋体"/>
          <w:sz w:val="28"/>
          <w:szCs w:val="28"/>
          <w:lang w:eastAsia="zh-CN"/>
        </w:rPr>
      </w:pPr>
    </w:p>
    <w:p>
      <w:pPr>
        <w:keepNext w:val="0"/>
        <w:keepLines w:val="0"/>
        <w:pageBreakBefore w:val="0"/>
        <w:widowControl w:val="0"/>
        <w:kinsoku/>
        <w:wordWrap/>
        <w:overflowPunct/>
        <w:topLinePunct w:val="0"/>
        <w:autoSpaceDE/>
        <w:autoSpaceDN/>
        <w:bidi w:val="0"/>
        <w:adjustRightInd/>
        <w:snapToGrid/>
        <w:spacing w:line="240" w:lineRule="auto"/>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投标人名称（盖公章）：</w:t>
      </w:r>
    </w:p>
    <w:p>
      <w:pPr>
        <w:keepNext w:val="0"/>
        <w:keepLines w:val="0"/>
        <w:pageBreakBefore w:val="0"/>
        <w:widowControl w:val="0"/>
        <w:kinsoku/>
        <w:wordWrap/>
        <w:overflowPunct/>
        <w:topLinePunct w:val="0"/>
        <w:autoSpaceDE/>
        <w:autoSpaceDN/>
        <w:bidi w:val="0"/>
        <w:adjustRightInd/>
        <w:snapToGrid/>
        <w:ind w:firstLine="2800" w:firstLineChars="10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宋体"/>
          <w:sz w:val="28"/>
          <w:szCs w:val="28"/>
          <w:lang w:eastAsia="zh-CN"/>
        </w:rPr>
        <w:t>日　　　期：　　　年　　月　　日</w:t>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2</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olor w:val="auto"/>
          <w:sz w:val="24"/>
          <w:szCs w:val="24"/>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outlineLvl w:val="9"/>
        <w:rPr>
          <w:rFonts w:hint="eastAsia" w:ascii="Times New Roman" w:hAnsi="Times New Roman" w:eastAsia="宋体" w:cs="宋体"/>
          <w:sz w:val="28"/>
          <w:szCs w:val="28"/>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3SB168C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0F873F05"/>
    <w:rsid w:val="10060E66"/>
    <w:rsid w:val="12BF4032"/>
    <w:rsid w:val="12DC1146"/>
    <w:rsid w:val="140758AC"/>
    <w:rsid w:val="14C052B0"/>
    <w:rsid w:val="16880B6E"/>
    <w:rsid w:val="16A33A8B"/>
    <w:rsid w:val="17E62151"/>
    <w:rsid w:val="190D2BEC"/>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5B454E3"/>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C16916"/>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4CFF26EB"/>
    <w:rsid w:val="50635474"/>
    <w:rsid w:val="510D00AA"/>
    <w:rsid w:val="53B91808"/>
    <w:rsid w:val="54585E17"/>
    <w:rsid w:val="55867334"/>
    <w:rsid w:val="55912732"/>
    <w:rsid w:val="574E15B7"/>
    <w:rsid w:val="598757BF"/>
    <w:rsid w:val="5A105A15"/>
    <w:rsid w:val="5D23354B"/>
    <w:rsid w:val="5D785372"/>
    <w:rsid w:val="5D94260B"/>
    <w:rsid w:val="5DAE499A"/>
    <w:rsid w:val="5F194A83"/>
    <w:rsid w:val="5F6F0FB4"/>
    <w:rsid w:val="610928EA"/>
    <w:rsid w:val="62A84C8F"/>
    <w:rsid w:val="63A30CC0"/>
    <w:rsid w:val="63F071FB"/>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2023-08-14T07:05:57Z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