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：1#纸机新增挤浆系统项目</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项目说明</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2.1项目概述</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为适应国内市场需要，计划把浓度3-4%的纸浆（全木浆或木浆与竹浆各50%）利用六压双网挤浆机浓缩挤压到干度43%-48%左右的浆板，再通过破碎螺旋输送机破碎后由皮带输送机输送到全自动打包机打包成型，可装车外运销售。</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2.2设备采购清单</w:t>
      </w:r>
    </w:p>
    <w:tbl>
      <w:tblPr>
        <w:tblStyle w:val="12"/>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3765"/>
        <w:gridCol w:w="2640"/>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78" w:type="dxa"/>
            <w:vAlign w:val="center"/>
          </w:tcPr>
          <w:p>
            <w:pPr>
              <w:tabs>
                <w:tab w:val="left" w:pos="851"/>
              </w:tabs>
              <w:jc w:val="center"/>
              <w:rPr>
                <w:rFonts w:hint="eastAsia" w:ascii="Times New Roman" w:hAnsi="Times New Roman" w:eastAsia="宋体" w:cs="宋体"/>
                <w:b/>
                <w:sz w:val="21"/>
                <w:szCs w:val="21"/>
              </w:rPr>
            </w:pPr>
            <w:r>
              <w:rPr>
                <w:rFonts w:hint="eastAsia" w:ascii="Times New Roman" w:hAnsi="Times New Roman" w:eastAsia="宋体" w:cs="宋体"/>
                <w:b/>
                <w:sz w:val="21"/>
                <w:szCs w:val="21"/>
              </w:rPr>
              <w:t>序号</w:t>
            </w:r>
          </w:p>
        </w:tc>
        <w:tc>
          <w:tcPr>
            <w:tcW w:w="3765" w:type="dxa"/>
            <w:vAlign w:val="center"/>
          </w:tcPr>
          <w:p>
            <w:pPr>
              <w:tabs>
                <w:tab w:val="left" w:pos="851"/>
              </w:tabs>
              <w:jc w:val="center"/>
              <w:rPr>
                <w:rFonts w:hint="eastAsia" w:ascii="Times New Roman" w:hAnsi="Times New Roman" w:eastAsia="宋体" w:cs="宋体"/>
                <w:b/>
                <w:sz w:val="21"/>
                <w:szCs w:val="21"/>
              </w:rPr>
            </w:pPr>
            <w:r>
              <w:rPr>
                <w:rFonts w:hint="eastAsia" w:ascii="Times New Roman" w:hAnsi="Times New Roman" w:eastAsia="宋体" w:cs="宋体"/>
                <w:b/>
                <w:sz w:val="21"/>
                <w:szCs w:val="21"/>
              </w:rPr>
              <w:t>名  称</w:t>
            </w:r>
          </w:p>
        </w:tc>
        <w:tc>
          <w:tcPr>
            <w:tcW w:w="2640" w:type="dxa"/>
            <w:vAlign w:val="center"/>
          </w:tcPr>
          <w:p>
            <w:pPr>
              <w:tabs>
                <w:tab w:val="left" w:pos="851"/>
              </w:tabs>
              <w:jc w:val="center"/>
              <w:rPr>
                <w:rFonts w:hint="eastAsia" w:ascii="Times New Roman" w:hAnsi="Times New Roman" w:eastAsia="宋体" w:cs="宋体"/>
                <w:b/>
                <w:sz w:val="21"/>
                <w:szCs w:val="21"/>
              </w:rPr>
            </w:pPr>
            <w:r>
              <w:rPr>
                <w:rFonts w:hint="eastAsia" w:ascii="Times New Roman" w:hAnsi="Times New Roman" w:eastAsia="宋体" w:cs="宋体"/>
                <w:b/>
                <w:sz w:val="21"/>
                <w:szCs w:val="21"/>
              </w:rPr>
              <w:t>性能参数</w:t>
            </w:r>
          </w:p>
        </w:tc>
        <w:tc>
          <w:tcPr>
            <w:tcW w:w="1905" w:type="dxa"/>
            <w:vAlign w:val="center"/>
          </w:tcPr>
          <w:p>
            <w:pPr>
              <w:tabs>
                <w:tab w:val="left" w:pos="851"/>
              </w:tabs>
              <w:ind w:left="59"/>
              <w:jc w:val="center"/>
              <w:rPr>
                <w:rFonts w:hint="eastAsia" w:ascii="Times New Roman" w:hAnsi="Times New Roman" w:eastAsia="宋体" w:cs="宋体"/>
                <w:b/>
                <w:sz w:val="21"/>
                <w:szCs w:val="21"/>
              </w:rPr>
            </w:pPr>
            <w:r>
              <w:rPr>
                <w:rFonts w:hint="eastAsia" w:ascii="Times New Roman" w:hAnsi="Times New Roman" w:eastAsia="宋体" w:cs="宋体"/>
                <w:b/>
                <w:sz w:val="21"/>
                <w:szCs w:val="21"/>
              </w:rPr>
              <w:t>数 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78" w:type="dxa"/>
            <w:vAlign w:val="center"/>
          </w:tcPr>
          <w:p>
            <w:pPr>
              <w:tabs>
                <w:tab w:val="left" w:pos="851"/>
              </w:tabs>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1</w:t>
            </w:r>
          </w:p>
        </w:tc>
        <w:tc>
          <w:tcPr>
            <w:tcW w:w="3765" w:type="dxa"/>
            <w:vAlign w:val="center"/>
          </w:tcPr>
          <w:p>
            <w:pPr>
              <w:tabs>
                <w:tab w:val="left" w:pos="851"/>
              </w:tabs>
              <w:jc w:val="center"/>
              <w:rPr>
                <w:rFonts w:hint="eastAsia" w:ascii="Times New Roman" w:hAnsi="Times New Roman" w:eastAsia="宋体" w:cs="宋体"/>
                <w:bCs/>
                <w:sz w:val="21"/>
                <w:szCs w:val="21"/>
              </w:rPr>
            </w:pPr>
            <w:r>
              <w:rPr>
                <w:rFonts w:hint="eastAsia" w:ascii="Times New Roman" w:hAnsi="Times New Roman" w:eastAsia="宋体" w:cs="宋体"/>
                <w:sz w:val="21"/>
                <w:szCs w:val="21"/>
              </w:rPr>
              <w:t>六压双网挤浆机</w:t>
            </w:r>
          </w:p>
        </w:tc>
        <w:tc>
          <w:tcPr>
            <w:tcW w:w="2640" w:type="dxa"/>
            <w:vAlign w:val="center"/>
          </w:tcPr>
          <w:p>
            <w:pPr>
              <w:tabs>
                <w:tab w:val="left" w:pos="851"/>
              </w:tabs>
              <w:jc w:val="center"/>
              <w:rPr>
                <w:rFonts w:hint="eastAsia" w:ascii="Times New Roman" w:hAnsi="Times New Roman" w:eastAsia="宋体" w:cs="宋体"/>
                <w:b/>
                <w:bCs/>
                <w:sz w:val="21"/>
                <w:szCs w:val="21"/>
              </w:rPr>
            </w:pPr>
            <w:r>
              <w:rPr>
                <w:rFonts w:hint="eastAsia" w:ascii="Times New Roman" w:hAnsi="Times New Roman" w:eastAsia="宋体" w:cs="宋体"/>
                <w:sz w:val="21"/>
                <w:szCs w:val="21"/>
              </w:rPr>
              <w:t>250t/24h</w:t>
            </w:r>
          </w:p>
        </w:tc>
        <w:tc>
          <w:tcPr>
            <w:tcW w:w="1905" w:type="dxa"/>
            <w:vAlign w:val="center"/>
          </w:tcPr>
          <w:p>
            <w:pPr>
              <w:tabs>
                <w:tab w:val="left" w:pos="851"/>
              </w:tabs>
              <w:ind w:left="59"/>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1台套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78" w:type="dxa"/>
            <w:vAlign w:val="center"/>
          </w:tcPr>
          <w:p>
            <w:pPr>
              <w:tabs>
                <w:tab w:val="left" w:pos="851"/>
              </w:tabs>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2</w:t>
            </w:r>
          </w:p>
        </w:tc>
        <w:tc>
          <w:tcPr>
            <w:tcW w:w="3765" w:type="dxa"/>
            <w:vAlign w:val="center"/>
          </w:tcPr>
          <w:p>
            <w:pPr>
              <w:tabs>
                <w:tab w:val="left" w:pos="851"/>
              </w:tabs>
              <w:jc w:val="center"/>
              <w:rPr>
                <w:rFonts w:hint="eastAsia" w:ascii="Times New Roman" w:hAnsi="Times New Roman" w:eastAsia="宋体" w:cs="宋体"/>
                <w:sz w:val="21"/>
                <w:szCs w:val="21"/>
              </w:rPr>
            </w:pPr>
            <w:r>
              <w:rPr>
                <w:rFonts w:hint="eastAsia" w:ascii="Times New Roman" w:hAnsi="Times New Roman" w:eastAsia="宋体" w:cs="宋体"/>
                <w:sz w:val="21"/>
                <w:szCs w:val="21"/>
              </w:rPr>
              <w:t>破碎螺旋输送机</w:t>
            </w:r>
          </w:p>
        </w:tc>
        <w:tc>
          <w:tcPr>
            <w:tcW w:w="2640" w:type="dxa"/>
            <w:vAlign w:val="center"/>
          </w:tcPr>
          <w:p>
            <w:pPr>
              <w:tabs>
                <w:tab w:val="left" w:pos="851"/>
              </w:tabs>
              <w:jc w:val="center"/>
              <w:rPr>
                <w:rFonts w:hint="eastAsia" w:ascii="Times New Roman" w:hAnsi="Times New Roman" w:eastAsia="宋体" w:cs="宋体"/>
                <w:b/>
                <w:bCs/>
                <w:sz w:val="21"/>
                <w:szCs w:val="21"/>
              </w:rPr>
            </w:pPr>
            <w:r>
              <w:rPr>
                <w:rFonts w:hint="eastAsia" w:ascii="Times New Roman" w:hAnsi="Times New Roman" w:eastAsia="宋体" w:cs="宋体"/>
                <w:sz w:val="21"/>
                <w:szCs w:val="21"/>
              </w:rPr>
              <w:t>250t/24h</w:t>
            </w:r>
          </w:p>
        </w:tc>
        <w:tc>
          <w:tcPr>
            <w:tcW w:w="1905" w:type="dxa"/>
            <w:vAlign w:val="center"/>
          </w:tcPr>
          <w:p>
            <w:pPr>
              <w:tabs>
                <w:tab w:val="left" w:pos="851"/>
              </w:tabs>
              <w:ind w:left="59"/>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1台套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78" w:type="dxa"/>
            <w:vAlign w:val="center"/>
          </w:tcPr>
          <w:p>
            <w:pPr>
              <w:tabs>
                <w:tab w:val="left" w:pos="851"/>
              </w:tabs>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3</w:t>
            </w:r>
          </w:p>
        </w:tc>
        <w:tc>
          <w:tcPr>
            <w:tcW w:w="3765" w:type="dxa"/>
            <w:vAlign w:val="center"/>
          </w:tcPr>
          <w:p>
            <w:pPr>
              <w:tabs>
                <w:tab w:val="left" w:pos="851"/>
              </w:tabs>
              <w:jc w:val="center"/>
              <w:rPr>
                <w:rFonts w:hint="eastAsia" w:ascii="Times New Roman" w:hAnsi="Times New Roman" w:eastAsia="宋体" w:cs="宋体"/>
                <w:sz w:val="21"/>
                <w:szCs w:val="21"/>
              </w:rPr>
            </w:pPr>
            <w:r>
              <w:rPr>
                <w:rFonts w:hint="eastAsia" w:ascii="Times New Roman" w:hAnsi="Times New Roman" w:eastAsia="宋体" w:cs="宋体"/>
                <w:sz w:val="21"/>
                <w:szCs w:val="21"/>
                <w:shd w:val="clear" w:color="auto" w:fill="FFFFFF"/>
              </w:rPr>
              <w:t>全自动湿浆打包机</w:t>
            </w:r>
          </w:p>
        </w:tc>
        <w:tc>
          <w:tcPr>
            <w:tcW w:w="2640" w:type="dxa"/>
            <w:vAlign w:val="center"/>
          </w:tcPr>
          <w:p>
            <w:pPr>
              <w:tabs>
                <w:tab w:val="left" w:pos="851"/>
              </w:tabs>
              <w:jc w:val="center"/>
              <w:rPr>
                <w:rFonts w:hint="eastAsia" w:ascii="Times New Roman" w:hAnsi="Times New Roman" w:eastAsia="宋体" w:cs="宋体"/>
                <w:b/>
                <w:bCs/>
                <w:sz w:val="21"/>
                <w:szCs w:val="21"/>
              </w:rPr>
            </w:pPr>
            <w:r>
              <w:rPr>
                <w:rFonts w:hint="eastAsia" w:ascii="Times New Roman" w:hAnsi="Times New Roman" w:eastAsia="宋体" w:cs="宋体"/>
                <w:sz w:val="21"/>
                <w:szCs w:val="21"/>
              </w:rPr>
              <w:t>250t/24h</w:t>
            </w:r>
          </w:p>
        </w:tc>
        <w:tc>
          <w:tcPr>
            <w:tcW w:w="1905" w:type="dxa"/>
            <w:vAlign w:val="center"/>
          </w:tcPr>
          <w:p>
            <w:pPr>
              <w:tabs>
                <w:tab w:val="left" w:pos="851"/>
              </w:tabs>
              <w:ind w:left="59"/>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1台套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78" w:type="dxa"/>
            <w:vAlign w:val="center"/>
          </w:tcPr>
          <w:p>
            <w:pPr>
              <w:tabs>
                <w:tab w:val="left" w:pos="851"/>
              </w:tabs>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4</w:t>
            </w:r>
          </w:p>
        </w:tc>
        <w:tc>
          <w:tcPr>
            <w:tcW w:w="3765" w:type="dxa"/>
            <w:vAlign w:val="center"/>
          </w:tcPr>
          <w:p>
            <w:pPr>
              <w:tabs>
                <w:tab w:val="left" w:pos="851"/>
              </w:tabs>
              <w:jc w:val="center"/>
              <w:rPr>
                <w:rFonts w:hint="eastAsia" w:ascii="Times New Roman" w:hAnsi="Times New Roman" w:eastAsia="宋体" w:cs="宋体"/>
                <w:sz w:val="21"/>
                <w:szCs w:val="21"/>
              </w:rPr>
            </w:pPr>
            <w:r>
              <w:rPr>
                <w:rFonts w:hint="eastAsia" w:ascii="Times New Roman" w:hAnsi="Times New Roman" w:eastAsia="宋体" w:cs="宋体"/>
                <w:sz w:val="21"/>
                <w:szCs w:val="21"/>
                <w:shd w:val="clear" w:color="auto" w:fill="FFFFFF"/>
              </w:rPr>
              <w:t>皮带输送机</w:t>
            </w:r>
          </w:p>
        </w:tc>
        <w:tc>
          <w:tcPr>
            <w:tcW w:w="2640" w:type="dxa"/>
            <w:vAlign w:val="center"/>
          </w:tcPr>
          <w:p>
            <w:pPr>
              <w:tabs>
                <w:tab w:val="left" w:pos="851"/>
              </w:tabs>
              <w:jc w:val="center"/>
              <w:rPr>
                <w:rFonts w:hint="eastAsia" w:ascii="Times New Roman" w:hAnsi="Times New Roman" w:eastAsia="宋体" w:cs="宋体"/>
                <w:b/>
                <w:bCs/>
                <w:sz w:val="21"/>
                <w:szCs w:val="21"/>
              </w:rPr>
            </w:pPr>
            <w:r>
              <w:rPr>
                <w:rFonts w:hint="eastAsia" w:ascii="Times New Roman" w:hAnsi="Times New Roman" w:eastAsia="宋体" w:cs="宋体"/>
                <w:sz w:val="21"/>
                <w:szCs w:val="21"/>
              </w:rPr>
              <w:t>250t/24h</w:t>
            </w:r>
          </w:p>
        </w:tc>
        <w:tc>
          <w:tcPr>
            <w:tcW w:w="1905" w:type="dxa"/>
            <w:vAlign w:val="center"/>
          </w:tcPr>
          <w:p>
            <w:pPr>
              <w:tabs>
                <w:tab w:val="left" w:pos="851"/>
              </w:tabs>
              <w:ind w:left="59"/>
              <w:jc w:val="center"/>
              <w:rPr>
                <w:rFonts w:hint="eastAsia" w:ascii="Times New Roman" w:hAnsi="Times New Roman" w:eastAsia="宋体" w:cs="宋体"/>
                <w:bCs/>
                <w:sz w:val="21"/>
                <w:szCs w:val="21"/>
              </w:rPr>
            </w:pPr>
            <w:r>
              <w:rPr>
                <w:rFonts w:hint="eastAsia" w:ascii="Times New Roman" w:hAnsi="Times New Roman" w:eastAsia="宋体" w:cs="宋体"/>
                <w:bCs/>
                <w:sz w:val="21"/>
                <w:szCs w:val="21"/>
              </w:rPr>
              <w:t>1台套</w:t>
            </w:r>
          </w:p>
        </w:tc>
      </w:tr>
    </w:tbl>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3.技术规格及要求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u w:val="single"/>
          <w:lang w:val="en-US" w:eastAsia="zh-CN"/>
        </w:rPr>
      </w:pPr>
      <w:r>
        <w:rPr>
          <w:rFonts w:hint="eastAsia" w:ascii="Times New Roman" w:hAnsi="Times New Roman"/>
          <w:b w:val="0"/>
          <w:bCs/>
          <w:color w:val="FF0000"/>
          <w:sz w:val="24"/>
          <w:szCs w:val="24"/>
          <w:u w:val="single"/>
          <w:lang w:val="en-US" w:eastAsia="zh-CN"/>
        </w:rPr>
        <w:t>【注：由于字符过多无法挂网显示，有意向参与投标的单位可联系招标办获取完整招标文件，联系人：刘玲0598-5658595】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4.1交货时间：中标方接到中标通知后7天内签订合同，合同生效后60天内供货至招标方现场。供货期长短作为评标的重要依据之一。</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Ansi="宋体"/>
          <w:sz w:val="24"/>
        </w:rPr>
      </w:pPr>
      <w:r>
        <w:rPr>
          <w:rFonts w:hint="eastAsia" w:ascii="Times New Roman" w:hAnsi="Times New Roman" w:eastAsia="宋体"/>
          <w:b w:val="0"/>
          <w:bCs/>
          <w:color w:val="auto"/>
          <w:sz w:val="24"/>
          <w:szCs w:val="24"/>
          <w:lang w:val="en-US" w:eastAsia="zh-CN"/>
        </w:rPr>
        <w:t>4.2交货地点：福建省三明市沙县区青州镇福建省青山纸业股份有限公司指定区域内</w:t>
      </w:r>
      <w:r>
        <w:rPr>
          <w:rFonts w:hAnsi="宋体"/>
          <w:sz w:val="24"/>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5.1投标人应是具备独立法人资格，有资质和能力提供制造安装服务、信用良好的国内企业或国际企业。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val="0"/>
          <w:bCs/>
          <w:color w:val="auto"/>
          <w:sz w:val="24"/>
          <w:szCs w:val="24"/>
          <w:lang w:val="en-US" w:eastAsia="zh-CN"/>
        </w:rPr>
        <w:t>5.2非生产单位投标必须出具生产单位的代理证书。</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6.中标方职责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6.1中标方对方案的可行性、合理性完全负责，对所提供的产品和服务的质量、技术、性能完全负责。中标方应负责指导设备的安装、调试及人员培训，要求在规定的时间内(30天)达到设计能力，招标方人员通过培训能掌握设备的操作、维修及故障排除。</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中标方提供的设备应为制造厂原装、最新、全新的产品，保证其提供的货物经过其指导正确安装、调整后在整个系统投料运转30天内，达到产品经济技术指标，如达不到，可延期30天内达到，否则，中标方赔偿经济损失。</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6.3中标方应保证对质量保证期内因提供的制造、安装、调试或材料缺陷所有因中标方责任引起的设备任何缺陷、故障、和损坏负责。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6.4中标方保证所提供的备件足够两年的正常使用。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6.5发货前10天中标方提供发货计划及详细进度表，发货计划及详细进度表内容一经确定不能再做变更，交货时间不可变更。</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6.6集装箱在运送过程中及到厂后，非卸货方造成的箱尾箱损，费用由中标方承担。</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6.7漏发补发的设备一律DDP青山纸业工厂，一切费用由中标方承担。</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6.8二年内备件在随主机设备发货时，须单独包装，标识，</w:t>
      </w:r>
      <w:r>
        <w:rPr>
          <w:rFonts w:hint="eastAsia" w:ascii="Times New Roman" w:hAnsi="Times New Roman" w:eastAsia="宋体"/>
          <w:b w:val="0"/>
          <w:bCs w:val="0"/>
          <w:color w:val="FF0000"/>
          <w:sz w:val="24"/>
          <w:szCs w:val="24"/>
          <w:lang w:val="en-US" w:eastAsia="zh-CN"/>
        </w:rPr>
        <w:t>提供备件明细单及备件型号规格</w:t>
      </w:r>
      <w:r>
        <w:rPr>
          <w:rFonts w:hint="eastAsia" w:ascii="Times New Roman" w:hAnsi="Times New Roman" w:eastAsia="宋体"/>
          <w:b w:val="0"/>
          <w:bCs w:val="0"/>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6.9中标方需要招标方配合的需在投标文件中列明。</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7.安全责任</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投标方技术交流、现场技术服务期间、现场安装调试期间，应遵守招标方相关规章制度。到招标方现场人员应按有关规定，采取严格的安全防护措施，承担由于自身安全措施不力造成安全事故的责任和因此发生的费用。</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8.违约罚则</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中标并签订合同后，由于中标人原因不能按投标文件工期承诺交付使用时，应赔偿由于误工给招标人带来的损失，其损失费按每拖延1日历天向招标人支付3000元，并累计计取。</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.付款方式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.1安装验收合格后招标人财务部收到全额发票</w:t>
      </w:r>
      <w:r>
        <w:rPr>
          <w:rFonts w:hint="eastAsia" w:ascii="Times New Roman" w:hAnsi="Times New Roman" w:eastAsia="宋体"/>
          <w:b w:val="0"/>
          <w:bCs/>
          <w:color w:val="auto"/>
          <w:sz w:val="24"/>
          <w:szCs w:val="24"/>
          <w:lang w:val="en-US" w:eastAsia="zh-CN"/>
        </w:rPr>
        <w:t>45天</w:t>
      </w:r>
      <w:r>
        <w:rPr>
          <w:rFonts w:hint="eastAsia" w:ascii="Times New Roman" w:hAnsi="Times New Roman" w:eastAsia="宋体"/>
          <w:b w:val="0"/>
          <w:bCs/>
          <w:color w:val="auto"/>
          <w:sz w:val="24"/>
          <w:szCs w:val="24"/>
          <w:lang w:eastAsia="zh-CN"/>
        </w:rPr>
        <w:t>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，在质保期（投标方承诺最长质保期）满后三十天内付清，质保金不计利息。但投标方可用自己的付款方式进行投标（根据偏离情况计分，详见第</w:t>
      </w:r>
      <w:r>
        <w:rPr>
          <w:rFonts w:hint="eastAsia" w:ascii="Times New Roman" w:hAnsi="Times New Roman" w:eastAsia="宋体"/>
          <w:b w:val="0"/>
          <w:bCs/>
          <w:color w:val="auto"/>
          <w:sz w:val="24"/>
          <w:szCs w:val="24"/>
          <w:lang w:val="en-US" w:eastAsia="zh-CN"/>
        </w:rPr>
        <w:t>11.2条</w:t>
      </w:r>
      <w:r>
        <w:rPr>
          <w:rFonts w:hint="eastAsia" w:ascii="Times New Roman" w:hAnsi="Times New Roman" w:eastAsia="宋体"/>
          <w:b w:val="0"/>
          <w:bCs/>
          <w:color w:val="auto"/>
          <w:sz w:val="24"/>
          <w:szCs w:val="24"/>
          <w:lang w:eastAsia="zh-CN"/>
        </w:rPr>
        <w:t>）。人民币报价和结算，中标人须开具税率为13%增值税专用发票。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.2发票要求：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.2.1中标人须为招标人开具合法、有效、完整、准确的增值税专用发票。中标人提供增值税发票税率为【13%】。</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2.2中标人承诺，如招标人或任何第三方（包括但不限于招标人财务部、审计部、政府税务机关、独立审计机构）在任何时候发现中标人开具的发票不符合要求或存在开具无效票据（如伪造、变造、虚开、作废等），中标人应在税务机关发现或招标人通知之日起5日内重新为招标人开具合法合规符合要求的增值税发票，并承担招标人由此所产生的全部损失（包括但不限于税款、滞纳金、行政处罚等）。如中标人因开具不符合要求的发票而受到有权机关处罚，该等处罚不能作为中标人减轻或免除按照上述约定应向招标人承担责任的理由。</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2.3出现以上情形后，若中标人拒不提供或延期提供票据，则招标人有权拒付或延期支付剩余款项，同时中标人还应向招标人支付所提供不合规发票票面总额【30%】的违约金，如给招标人造成其他损失的，中标人应予赔偿。本款中招标人拒收发票，或招标人暂停支付款项等行为，不视为招标人违约，中标人不得以此为由中止履行合同约定的义务。中标人自愿放弃请求调整违约金的权利。</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2.4招标人有权在应付中标人的任何款项中扣除中标人应向招标人支付的违约金及损失赔偿金等，若招标人从应付中标人的款项中扣除了违约金、损失赔偿额等款项的，中标人仍应按扣除前的含税合同金额开具增值税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lang w:eastAsia="zh-CN"/>
        </w:rPr>
        <w:t>.2.5若中标人由一般纳税人身份变为小规模纳税人身份的，或计税方法、政策法规规范性文件发生变化的，并导致招标人可抵扣的进项税额减少或被税务机关要求补缴税款的，减少的进项税额或补缴的税款由中标人承担，招标人有权从应付中标人的款项中扣除。</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10.1投标总价中须列出各分项价格，选项单独报价。报价为含13%增值税价格。</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10.2技术培训、现场安装指导、调试、开车、产品优化直至验收等费用要按人员、天数等报总价，本次报价为封顶价。</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10.3本次招标采取一次性报价方式。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2"/>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当AG＞1.1AD时，F=60-（A-AD）÷（AG-AD）×6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当AG≤1.1AD时，F=60-（A-AD）÷AD×60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6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32</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①技术性能、制造水平及产品特点：25分；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②配套设备、备品：5分；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③专有、专利技术：2分，每一个得1分，最高2分；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④不满足设备规格及技术要求的，按废标处理。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①类似业绩：3分（以合同复印件为准，每份合同1分，最高</w:t>
            </w:r>
            <w:r>
              <w:rPr>
                <w:rFonts w:hint="eastAsia" w:ascii="Times New Roman" w:hAnsi="Times New Roman" w:eastAsia="宋体" w:cs="Times New Roman"/>
                <w:color w:val="auto"/>
                <w:kern w:val="0"/>
                <w:szCs w:val="21"/>
                <w:lang w:val="en-US" w:eastAsia="zh-CN"/>
              </w:rPr>
              <w:t>3分</w:t>
            </w:r>
            <w:r>
              <w:rPr>
                <w:rFonts w:hint="eastAsia" w:ascii="Times New Roman" w:hAnsi="Times New Roman" w:eastAsia="宋体" w:cs="Times New Roman"/>
                <w:color w:val="auto"/>
                <w:kern w:val="0"/>
                <w:szCs w:val="21"/>
                <w:lang w:eastAsia="zh-CN"/>
              </w:rPr>
              <w:t>）；</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②质保承诺：2分（1年1分，1年以上每增加六个月得0.5分，最高2分）。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①预付款（3分）：无预付款满分，其余按比例扣分；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（凡是货物未到甲方安装验收前的付款均为预付款，预付款不超过30%）</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②质保金：10%质保金，</w:t>
            </w:r>
            <w:r>
              <w:rPr>
                <w:rFonts w:hint="eastAsia" w:ascii="Times New Roman" w:hAnsi="Times New Roman" w:eastAsia="宋体" w:cs="Times New Roman"/>
                <w:b/>
                <w:bCs w:val="0"/>
                <w:color w:val="auto"/>
                <w:kern w:val="0"/>
                <w:szCs w:val="21"/>
                <w:lang w:val="en-US" w:eastAsia="zh-CN"/>
              </w:rPr>
              <w:t>不允许偏离</w:t>
            </w:r>
            <w:r>
              <w:rPr>
                <w:rFonts w:hint="eastAsia" w:ascii="Times New Roman" w:hAnsi="Times New Roman" w:eastAsia="宋体" w:cs="Times New Roman"/>
                <w:b w:val="0"/>
                <w:bCs/>
                <w:color w:val="auto"/>
                <w:kern w:val="0"/>
                <w:szCs w:val="21"/>
                <w:lang w:val="en-US" w:eastAsia="zh-CN"/>
              </w:rPr>
              <w:t>。</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③银行承兑汇票：</w:t>
            </w:r>
            <w:r>
              <w:rPr>
                <w:rFonts w:hint="eastAsia" w:ascii="Times New Roman" w:hAnsi="Times New Roman" w:eastAsia="宋体" w:cs="Times New Roman"/>
                <w:b/>
                <w:bCs w:val="0"/>
                <w:color w:val="auto"/>
                <w:kern w:val="0"/>
                <w:szCs w:val="21"/>
                <w:lang w:val="en-US" w:eastAsia="zh-CN"/>
              </w:rPr>
              <w:t>不允许偏离</w:t>
            </w:r>
            <w:r>
              <w:rPr>
                <w:rFonts w:hint="eastAsia" w:ascii="Times New Roman" w:hAnsi="Times New Roman" w:eastAsia="宋体" w:cs="Times New Roman"/>
                <w:b w:val="0"/>
                <w:bCs/>
                <w:color w:val="auto"/>
                <w:kern w:val="0"/>
                <w:szCs w:val="21"/>
                <w:lang w:val="en-US" w:eastAsia="zh-CN"/>
              </w:rPr>
              <w:t>。</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12</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15</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12</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1</w:t>
      </w:r>
      <w:r>
        <w:rPr>
          <w:rFonts w:hint="eastAsia" w:ascii="Times New Roman" w:hAnsi="Times New Roman" w:eastAsia="宋体"/>
          <w:color w:val="auto"/>
          <w:sz w:val="24"/>
          <w:szCs w:val="24"/>
          <w:highlight w:val="none"/>
          <w:lang w:val="en-US" w:eastAsia="zh-CN"/>
        </w:rPr>
        <w:t>2</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12.2.3网络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70000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13</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b/>
          <w:bCs/>
          <w:color w:val="FF0000"/>
          <w:sz w:val="24"/>
          <w:szCs w:val="24"/>
        </w:rPr>
        <w:t>汇款人须注明</w:t>
      </w:r>
      <w:r>
        <w:rPr>
          <w:rFonts w:hint="eastAsia" w:ascii="Times New Roman" w:hAnsi="Times New Roman" w:eastAsia="宋体"/>
          <w:b/>
          <w:bCs/>
          <w:color w:val="FF0000"/>
          <w:sz w:val="24"/>
          <w:szCs w:val="24"/>
        </w:rPr>
        <w:t>参与的招标编号</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（各类未到期的保证金除外）且数额足够抵扣投标保证金时，投标人可出具正式公函明确要求本公司从其</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中转扣</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w:t>
      </w:r>
      <w:r>
        <w:rPr>
          <w:rFonts w:hint="eastAsia" w:ascii="Times New Roman" w:hAnsi="Times New Roman" w:eastAsia="宋体"/>
          <w:color w:val="auto"/>
          <w:sz w:val="24"/>
          <w:szCs w:val="24"/>
          <w:u w:val="none"/>
          <w:lang w:eastAsia="zh-CN"/>
        </w:rPr>
        <w:t>格式见附件</w:t>
      </w:r>
      <w:r>
        <w:rPr>
          <w:rFonts w:hint="eastAsia" w:ascii="Times New Roman" w:hAnsi="Times New Roman" w:eastAsia="宋体"/>
          <w:color w:val="auto"/>
          <w:sz w:val="24"/>
          <w:szCs w:val="24"/>
          <w:u w:val="none"/>
          <w:lang w:val="en-US" w:eastAsia="zh-CN"/>
        </w:rPr>
        <w:t>1</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.4未中标的投标人的投标保证金，以电汇形式的将在一星期内退还；以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14.1.1投标保证金凭证：银行电汇回单或投标保证金函。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技术方案（包括第</w:t>
      </w:r>
      <w:r>
        <w:rPr>
          <w:rFonts w:hint="eastAsia" w:ascii="Times New Roman" w:hAnsi="Times New Roman" w:eastAsia="宋体"/>
          <w:color w:val="auto"/>
          <w:sz w:val="24"/>
          <w:szCs w:val="24"/>
          <w:lang w:val="en-US" w:eastAsia="zh-CN"/>
        </w:rPr>
        <w:t>11.2条</w:t>
      </w:r>
      <w:r>
        <w:rPr>
          <w:rFonts w:hint="eastAsia" w:ascii="Times New Roman" w:hAnsi="Times New Roman" w:eastAsia="宋体"/>
          <w:color w:val="auto"/>
          <w:sz w:val="24"/>
          <w:szCs w:val="24"/>
          <w:lang w:eastAsia="zh-CN"/>
        </w:rPr>
        <w:t>技术评审打分项的内容）</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17.</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技术联系人：李子文18065854902</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商务联系人：邱鹏飞15859817617</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1：投标</w:t>
      </w:r>
      <w:r>
        <w:rPr>
          <w:rFonts w:hint="eastAsia" w:ascii="Times New Roman" w:hAnsi="Times New Roman" w:eastAsia="宋体"/>
          <w:color w:val="auto"/>
          <w:sz w:val="24"/>
          <w:szCs w:val="24"/>
          <w:lang w:eastAsia="zh-CN"/>
        </w:rPr>
        <w:t>保证金函</w:t>
      </w:r>
      <w:r>
        <w:rPr>
          <w:rFonts w:hint="eastAsia" w:ascii="Times New Roman" w:hAnsi="Times New Roman" w:eastAsia="宋体"/>
          <w:color w:val="auto"/>
          <w:sz w:val="24"/>
          <w:szCs w:val="24"/>
        </w:rPr>
        <w:t>（格式）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附件2：法定代表人授权书（格式）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w:t>
      </w:r>
      <w:r>
        <w:rPr>
          <w:rFonts w:hint="eastAsia" w:ascii="Times New Roman" w:hAnsi="Times New Roman"/>
          <w:color w:val="auto"/>
          <w:sz w:val="24"/>
          <w:szCs w:val="24"/>
          <w:lang w:val="en-US" w:eastAsia="zh-CN"/>
        </w:rPr>
        <w:t>0</w:t>
      </w:r>
      <w:bookmarkStart w:id="0" w:name="_GoBack"/>
      <w:bookmarkEnd w:id="0"/>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1：投标保证金函（格式）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30"/>
          <w:szCs w:val="30"/>
          <w:lang w:eastAsia="zh-CN"/>
        </w:rPr>
        <w:t>投标保证金函</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我司参与投标</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项目（招标编号：</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1、投标保证金金额：</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元。</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2、转抵款项形式：□已结未付货款</w:t>
      </w:r>
      <w:r>
        <w:rPr>
          <w:rFonts w:hint="eastAsia" w:ascii="Times New Roman" w:hAnsi="Times New Roman" w:eastAsia="宋体" w:cs="宋体"/>
          <w:sz w:val="28"/>
          <w:szCs w:val="28"/>
          <w:lang w:val="en-US" w:eastAsia="zh-CN"/>
        </w:rPr>
        <w:t xml:space="preserve">     </w:t>
      </w:r>
      <w:r>
        <w:rPr>
          <w:rFonts w:hint="eastAsia" w:ascii="Times New Roman" w:hAnsi="Times New Roman" w:eastAsia="宋体" w:cs="宋体"/>
          <w:sz w:val="28"/>
          <w:szCs w:val="28"/>
          <w:lang w:eastAsia="zh-CN"/>
        </w:rPr>
        <w:t>□到期未退保证金。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val="en-US" w:eastAsia="zh-CN"/>
        </w:rPr>
      </w:pPr>
      <w:r>
        <w:rPr>
          <w:rFonts w:hint="eastAsia" w:ascii="Times New Roman" w:hAnsi="Times New Roman" w:eastAsia="宋体" w:cs="宋体"/>
          <w:sz w:val="28"/>
          <w:szCs w:val="28"/>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投标人名称（盖公章）：</w:t>
      </w:r>
    </w:p>
    <w:p>
      <w:pPr>
        <w:keepNext w:val="0"/>
        <w:keepLines w:val="0"/>
        <w:pageBreakBefore w:val="0"/>
        <w:widowControl w:val="0"/>
        <w:kinsoku/>
        <w:wordWrap/>
        <w:overflowPunct/>
        <w:topLinePunct w:val="0"/>
        <w:autoSpaceDE/>
        <w:autoSpaceDN/>
        <w:bidi w:val="0"/>
        <w:adjustRightInd/>
        <w:snapToGrid/>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日　　　期：　　　年　　月　　日</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spacing w:line="460" w:lineRule="exact"/>
        <w:ind w:firstLine="4800" w:firstLineChars="20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spacing w:line="460" w:lineRule="exact"/>
        <w:ind w:firstLine="4800" w:firstLineChars="20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spacing w:line="460" w:lineRule="exact"/>
        <w:ind w:firstLine="4800" w:firstLineChars="20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spacing w:line="460" w:lineRule="exact"/>
        <w:ind w:firstLine="4800" w:firstLineChars="2000"/>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spacing w:line="460" w:lineRule="exact"/>
        <w:ind w:firstLine="4819" w:firstLineChars="2000"/>
        <w:rPr>
          <w:rFonts w:ascii="Times New Roman" w:hAnsi="Times New Roman" w:eastAsia="宋体" w:cs="Times New Roman"/>
          <w:b/>
          <w:bCs/>
          <w:color w:val="auto"/>
          <w:sz w:val="24"/>
          <w:szCs w:val="24"/>
        </w:rPr>
      </w:pPr>
    </w:p>
    <w:p>
      <w:pPr>
        <w:spacing w:line="460" w:lineRule="exact"/>
        <w:ind w:firstLine="4800" w:firstLineChars="20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spacing w:line="460" w:lineRule="exact"/>
        <w:ind w:firstLine="4800" w:firstLineChars="20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spacing w:line="460" w:lineRule="exact"/>
        <w:ind w:firstLine="4800" w:firstLineChars="2000"/>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3SB170C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0F873F0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3981BCD"/>
    <w:rsid w:val="24C550DC"/>
    <w:rsid w:val="24CA313E"/>
    <w:rsid w:val="25B454E3"/>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0064F3"/>
    <w:rsid w:val="4810454C"/>
    <w:rsid w:val="48571F9B"/>
    <w:rsid w:val="485A1FE6"/>
    <w:rsid w:val="494848CE"/>
    <w:rsid w:val="4ACF470A"/>
    <w:rsid w:val="50635474"/>
    <w:rsid w:val="510D00AA"/>
    <w:rsid w:val="53B91808"/>
    <w:rsid w:val="54585E17"/>
    <w:rsid w:val="55867334"/>
    <w:rsid w:val="55912732"/>
    <w:rsid w:val="574E15B7"/>
    <w:rsid w:val="598757BF"/>
    <w:rsid w:val="5A105A15"/>
    <w:rsid w:val="5D23354B"/>
    <w:rsid w:val="5D785372"/>
    <w:rsid w:val="5D94260B"/>
    <w:rsid w:val="5DAE499A"/>
    <w:rsid w:val="5F194A83"/>
    <w:rsid w:val="5F6F0FB4"/>
    <w:rsid w:val="610928EA"/>
    <w:rsid w:val="62A84C8F"/>
    <w:rsid w:val="63A30CC0"/>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 w:val="7E0554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2023-08-10T02:18:47Z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