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：制浆分厂C42减速机修理</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2.1设备参数：</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型号：4PC560、1台      品牌：山东华成中德传动设备有限公司</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序列号：S0961810        制造号：T27123</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2.2维护修理内容：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2.2.1制浆分厂C42减速机在使用过程中因负荷变化导致前三级齿轮、齿轮轴及轴承损坏。减速机结构较复杂，对装配要求较高，需更换齿轮、齿轮轴及轴承更换、间隙调整等。</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2.2.2更换零部件清单：（以下“乙供”指中标人提供）</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（1）第一级齿轮轴（即输入轴，其余以此类推，乙供1件）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（2）第一级齿轮（乙供1件）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（3）第二级齿轮轴（乙供1件）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（4）第二级齿轮（乙供1件）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（5）第三级齿轮轴（乙供1件）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（6）第三级齿轮（乙供1件）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（7）轴承22311C3（选用SKF、NSK、TIMKEN或同等品牌轴承，乙供1件）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（8）轴承22312C3（选用SKF、NSK、TIMKEN或同等品牌轴承，乙供1件）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（9）轴承22314C3（选用SKF、NSK、TIMKEN或同等品牌轴承，乙供1件）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（10）轴承22316C3（选用SKF、NSK、TIMKEN或同等品牌轴承，乙供1件）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（11）轴承22322C3（选用SKF、NSK、TIMKEN或同等品牌轴承，乙供2件）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（12）油封BAUMSLX7 70-100-10（乙供1件）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（13）油封BAUMSLX7 220-250-15（乙供1件）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（14）箱体内部清洗维护维修、壳体清洗。（乙供1项）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备注：本招标文件中提及的品牌均为参考品牌。投标人可以直接选用参考品牌中的一种，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2.2.3包工包料修理，更换下的旧件需归还招标方，运输就近负责，。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2.2.4设备修理调试结束，出具证书，才能交付招标方使用。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2.2.5说明：</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（1）设备维修过程中相关内容如上述方案中未涉及，增加的维修工作及费用由双方友好协商解决。</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（2）所有更换的零部件和修理在投标时必须列出维修更换部件清单，同时说明维修内容；维修过程中如出现不在上述备件清单的零部件需要更换相关费用另计。</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2.3验收要求：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按照原厂家的制造和运行标准验收，同时满足招标方的生产要求。</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3.交货时间及地点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3.1交货时间：投标文件中注明修理交货时间。</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3.2交货地点：福建省三明市沙县区青州镇福建省青山纸业股份有限公司指定区域内。</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4.1投标人应是独立法人资格，有资质和能力提供修理服务、信用良好的国内企业或国际企业。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4.2非实际修理厂家的投标人须提供代理证书。</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val="0"/>
          <w:bCs/>
          <w:color w:val="auto"/>
          <w:sz w:val="24"/>
          <w:szCs w:val="24"/>
          <w:lang w:val="en-US" w:eastAsia="zh-CN"/>
        </w:rPr>
        <w:t>4.3非原厂家的投标人须提供类似修理业绩，以合同复印件为准。</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：质量保证期为项目验收合格后12个月</w:t>
      </w:r>
      <w:r>
        <w:rPr>
          <w:rFonts w:hint="eastAsia" w:ascii="Times New Roman" w:hAnsi="Times New Roman" w:eastAsia="宋体"/>
          <w:b w:val="0"/>
          <w:bCs/>
          <w:color w:val="auto"/>
          <w:sz w:val="24"/>
          <w:szCs w:val="24"/>
        </w:rPr>
        <w:t>，投标人可承诺更长的质保期。</w:t>
      </w:r>
      <w:bookmarkStart w:id="0" w:name="_GoBack"/>
      <w:bookmarkEnd w:id="0"/>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.付款方式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.1本工程不支付预付款和进度款，项目验收合格后招标方财务部收到全额发票45天支付工程总合同价的90%（银行承兑汇票），质保金为总合同价的10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，在质保期满后三十天内付清，质保金不计利息。人民币报价和结算，中标人开具13%增值税专用发票。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.2发票要求：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.2.1中标人须为招标人开具合法、有效、完整、准确的增值税专用发票。中标人提供增值税发票税率为【13%】。</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2.2中标人承诺，如招标人或任何第三方（包括但不限于招标人财务部、审计部、政府税务机关、独立审计机构）在任何时候发现中标人开具的发票不符合要求或存在开具无效票据（如伪造、变造、虚开、作废等），中标人应在税务机关发现或招标人通知之日起5日内重新为招标人开具合法合规符合要求的增值税发票，并承担招标人由此所产生的全部损失（包括但不限于税款、滞纳金、行政处罚等）。如中标人因开具不符合要求的发票而受到有权机关处罚，该等处罚不能作为中标人减轻或免除按照上述约定应向招标人承担责任的理由。</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2.3出现以上情形后，若中标人拒不提供或延期提供票据，则招标人有权拒付或延期支付剩余款项，同时中标人还应向招标人支付所提供不合规发票票面总额【30%】的违约金，如给招标人造成其他损失的，中标人应予赔偿。本款中招标人拒收发票，或招标人暂停支付款项等行为，不视为招标人违约，中标人不得以此为由中止履行合同约定的义务。中标人自愿放弃请求调整违约金的权利。</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2.4招标人有权在应付中标人的任何款项中扣除中标人应向招标人支付的违约金及损失赔偿金等，若招标人从应付中标人的款项中扣除了违约金、损失赔偿额等款项的，中标人仍应按扣除前的含税合同金额开具增值税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2.5若中标人由一般纳税人身份变为小规模纳税人身份的，或计税方法、政策法规规范性文件发生变化的，并导致招标人可抵扣的进项税额减少或被税务机关要求补缴税款的，减少的进项税额或补缴的税款由中标人承担，招标人有权从应付中标人的款项中扣除。</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bCs w:val="0"/>
          <w:color w:val="auto"/>
          <w:sz w:val="24"/>
          <w:szCs w:val="24"/>
          <w:lang w:val="en-US" w:eastAsia="zh-CN"/>
        </w:rPr>
        <w:t>6</w:t>
      </w:r>
      <w:r>
        <w:rPr>
          <w:rFonts w:hint="eastAsia" w:ascii="Times New Roman" w:hAnsi="Times New Roman" w:eastAsia="宋体"/>
          <w:b/>
          <w:bCs w:val="0"/>
          <w:color w:val="auto"/>
          <w:sz w:val="24"/>
          <w:szCs w:val="24"/>
          <w:lang w:eastAsia="zh-CN"/>
        </w:rPr>
        <w:t>.3付款方式不得偏离，否则投标将被否决。</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7.1技术培训、现场安装指导、调试、试机直至验收等费用，该报价包含在投标总价中，中标人须开具13%增值税专用发票。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7.2本次招标采取一次性报价方式。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7.3本次招标</w:t>
      </w:r>
      <w:r>
        <w:rPr>
          <w:rFonts w:hint="eastAsia" w:ascii="Times New Roman" w:hAnsi="Times New Roman" w:eastAsia="宋体"/>
          <w:color w:val="auto"/>
          <w:sz w:val="24"/>
          <w:szCs w:val="24"/>
          <w:lang w:eastAsia="zh-CN"/>
        </w:rPr>
        <w:t>设置招标控制价</w:t>
      </w:r>
      <w:r>
        <w:rPr>
          <w:rFonts w:hint="eastAsia" w:ascii="Times New Roman" w:hAnsi="Times New Roman" w:eastAsia="宋体"/>
          <w:color w:val="auto"/>
          <w:sz w:val="24"/>
          <w:szCs w:val="24"/>
        </w:rPr>
        <w:t>为人民币壹拾陆万</w:t>
      </w:r>
      <w:r>
        <w:rPr>
          <w:rFonts w:hint="eastAsia" w:ascii="Times New Roman" w:hAnsi="Times New Roman" w:eastAsia="宋体"/>
          <w:color w:val="auto"/>
          <w:sz w:val="24"/>
          <w:szCs w:val="24"/>
          <w:lang w:eastAsia="zh-CN"/>
        </w:rPr>
        <w:t>元</w:t>
      </w:r>
      <w:r>
        <w:rPr>
          <w:rFonts w:hint="eastAsia" w:ascii="Times New Roman" w:hAnsi="Times New Roman" w:eastAsia="宋体"/>
          <w:color w:val="auto"/>
          <w:sz w:val="24"/>
          <w:szCs w:val="24"/>
        </w:rPr>
        <w:t>整（</w:t>
      </w:r>
      <w:r>
        <w:rPr>
          <w:rFonts w:hint="eastAsia" w:ascii="Times New Roman" w:hAnsi="Times New Roman" w:eastAsia="宋体"/>
          <w:color w:val="auto"/>
          <w:sz w:val="24"/>
          <w:szCs w:val="24"/>
          <w:lang w:val="en-US" w:eastAsia="zh-CN"/>
        </w:rPr>
        <w:t>¥</w:t>
      </w: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6</w:t>
      </w:r>
      <w:r>
        <w:rPr>
          <w:rFonts w:hint="eastAsia" w:ascii="Times New Roman" w:hAnsi="Times New Roman" w:eastAsia="宋体"/>
          <w:color w:val="auto"/>
          <w:sz w:val="24"/>
          <w:szCs w:val="24"/>
        </w:rPr>
        <w:t>0000）</w:t>
      </w:r>
      <w:r>
        <w:rPr>
          <w:rFonts w:hint="eastAsia" w:ascii="Times New Roman" w:hAnsi="Times New Roman" w:eastAsia="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8.1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8.2投标人报价超过招标控制价的，则否决其投标。</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8.3</w:t>
      </w:r>
      <w:r>
        <w:rPr>
          <w:rFonts w:ascii="Times New Roman" w:hAnsi="Times New Roman" w:eastAsia="宋体"/>
          <w:color w:val="auto"/>
          <w:sz w:val="24"/>
          <w:szCs w:val="24"/>
        </w:rPr>
        <w:t>评分项目：</w:t>
      </w:r>
    </w:p>
    <w:tbl>
      <w:tblPr>
        <w:tblStyle w:val="12"/>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F=60-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①设备满足招标文件要求的程度：10分；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②技术性能、制造水平及产品特点：25分；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质保</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w:t>
            </w:r>
            <w:r>
              <w:rPr>
                <w:rFonts w:hint="eastAsia"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eastAsia="zh-CN"/>
              </w:rPr>
              <w:t>分）：1分/份合同，以合同复印件为准。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②售后服务（2分）：质保期1年为1分，每增加6个月得0.5分。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w:t>
      </w:r>
      <w:r>
        <w:rPr>
          <w:rFonts w:ascii="Times New Roman" w:hAnsi="Times New Roman" w:eastAsia="宋体"/>
          <w:color w:val="auto"/>
          <w:sz w:val="24"/>
          <w:szCs w:val="24"/>
          <w:highlight w:val="none"/>
        </w:rPr>
        <w:t>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9</w:t>
      </w:r>
      <w:r>
        <w:rPr>
          <w:rFonts w:ascii="Times New Roman" w:hAnsi="Times New Roman" w:eastAsia="宋体"/>
          <w:color w:val="auto"/>
          <w:sz w:val="24"/>
          <w:szCs w:val="24"/>
          <w:highlight w:val="none"/>
        </w:rPr>
        <w:t>.2参与方式：</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以下三种参与方式投标人可任选一种</w:t>
      </w:r>
      <w:r>
        <w:rPr>
          <w:rFonts w:hint="eastAsia" w:ascii="Times New Roman" w:hAnsi="Times New Roman" w:eastAsia="宋体"/>
          <w:color w:val="auto"/>
          <w:sz w:val="24"/>
          <w:szCs w:val="24"/>
          <w:highlight w:val="none"/>
          <w:lang w:eastAsia="zh-CN"/>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9</w:t>
      </w:r>
      <w:r>
        <w:rPr>
          <w:rFonts w:hint="eastAsia" w:ascii="Times New Roman" w:hAnsi="Times New Roman" w:eastAsia="宋体"/>
          <w:color w:val="auto"/>
          <w:sz w:val="24"/>
          <w:szCs w:val="24"/>
          <w:highlight w:val="none"/>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9.2.3网络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0</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3000</w:t>
      </w:r>
      <w:r>
        <w:rPr>
          <w:rFonts w:ascii="Times New Roman" w:hAnsi="Times New Roman" w:eastAsia="宋体"/>
          <w:color w:val="auto"/>
          <w:sz w:val="24"/>
          <w:szCs w:val="24"/>
          <w:highlight w:val="none"/>
        </w:rPr>
        <w:t>元。</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b/>
          <w:bCs/>
          <w:color w:val="FF0000"/>
          <w:sz w:val="24"/>
          <w:szCs w:val="24"/>
        </w:rPr>
        <w:t>汇款人须注明</w:t>
      </w:r>
      <w:r>
        <w:rPr>
          <w:rFonts w:hint="eastAsia" w:ascii="Times New Roman" w:hAnsi="Times New Roman" w:eastAsia="宋体"/>
          <w:b/>
          <w:bCs/>
          <w:color w:val="FF0000"/>
          <w:sz w:val="24"/>
          <w:szCs w:val="24"/>
        </w:rPr>
        <w:t>参与的招标编号</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（各类未到期的保证金除外）且数额足够抵扣投标保证金时，投标人可出具正式公函明确要求本公司从其</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中转扣</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w:t>
      </w:r>
      <w:r>
        <w:rPr>
          <w:rFonts w:hint="eastAsia" w:ascii="Times New Roman" w:hAnsi="Times New Roman" w:eastAsia="宋体"/>
          <w:color w:val="auto"/>
          <w:sz w:val="24"/>
          <w:szCs w:val="24"/>
          <w:u w:val="none"/>
          <w:lang w:eastAsia="zh-CN"/>
        </w:rPr>
        <w:t>格式见附件</w:t>
      </w:r>
      <w:r>
        <w:rPr>
          <w:rFonts w:hint="eastAsia" w:ascii="Times New Roman" w:hAnsi="Times New Roman" w:eastAsia="宋体"/>
          <w:color w:val="auto"/>
          <w:sz w:val="24"/>
          <w:szCs w:val="24"/>
          <w:u w:val="none"/>
          <w:lang w:val="en-US" w:eastAsia="zh-CN"/>
        </w:rPr>
        <w:t>1</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.4未中标的投标人的投标保证金，以电汇形式的将在一星期内退还；以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11.1.1投标保证金凭证：银行电汇回单或投标保证金函。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工</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14.</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技术联系人：黄志中13559098500</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商务联系人：陈初发0598-5658513</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投标保证金函</w:t>
      </w:r>
      <w:r>
        <w:rPr>
          <w:rFonts w:hint="eastAsia" w:ascii="Times New Roman" w:hAnsi="Times New Roman" w:eastAsia="宋体"/>
          <w:color w:val="auto"/>
          <w:sz w:val="24"/>
          <w:szCs w:val="24"/>
        </w:rPr>
        <w:t>（格式）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s="Times New Roman"/>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1：投标保证金函（格式）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b/>
          <w:bCs/>
          <w:spacing w:val="20"/>
          <w:sz w:val="30"/>
          <w:szCs w:val="30"/>
          <w:lang w:eastAsia="zh-CN"/>
        </w:rPr>
        <w:t>投标保证金函</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我司参与投标</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项目（招标编号：</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1、投标保证金金额：</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元。</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2、转抵款项形式：□已结未付货款</w:t>
      </w:r>
      <w:r>
        <w:rPr>
          <w:rFonts w:hint="eastAsia" w:ascii="Times New Roman" w:hAnsi="Times New Roman" w:eastAsia="宋体" w:cs="宋体"/>
          <w:sz w:val="28"/>
          <w:szCs w:val="28"/>
          <w:lang w:val="en-US" w:eastAsia="zh-CN"/>
        </w:rPr>
        <w:t xml:space="preserve">     </w:t>
      </w:r>
      <w:r>
        <w:rPr>
          <w:rFonts w:hint="eastAsia" w:ascii="Times New Roman" w:hAnsi="Times New Roman" w:eastAsia="宋体" w:cs="宋体"/>
          <w:sz w:val="28"/>
          <w:szCs w:val="28"/>
          <w:lang w:eastAsia="zh-CN"/>
        </w:rPr>
        <w:t>□到期未退保证金。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val="en-US" w:eastAsia="zh-CN"/>
        </w:rPr>
      </w:pPr>
      <w:r>
        <w:rPr>
          <w:rFonts w:hint="eastAsia" w:ascii="Times New Roman" w:hAnsi="Times New Roman" w:eastAsia="宋体" w:cs="宋体"/>
          <w:sz w:val="28"/>
          <w:szCs w:val="28"/>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投标人名称（盖公章）：</w:t>
      </w:r>
    </w:p>
    <w:p>
      <w:pPr>
        <w:keepNext w:val="0"/>
        <w:keepLines w:val="0"/>
        <w:pageBreakBefore w:val="0"/>
        <w:widowControl w:val="0"/>
        <w:kinsoku/>
        <w:wordWrap/>
        <w:overflowPunct/>
        <w:topLinePunct w:val="0"/>
        <w:autoSpaceDE/>
        <w:autoSpaceDN/>
        <w:bidi w:val="0"/>
        <w:adjustRightInd/>
        <w:snapToGrid/>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日　　　期：　　　年　　月　　日</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3SB168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0F873F05"/>
    <w:rsid w:val="10060E66"/>
    <w:rsid w:val="12BF4032"/>
    <w:rsid w:val="12DC1146"/>
    <w:rsid w:val="140758AC"/>
    <w:rsid w:val="14C052B0"/>
    <w:rsid w:val="16880B6E"/>
    <w:rsid w:val="16A33A8B"/>
    <w:rsid w:val="17E62151"/>
    <w:rsid w:val="190D2BEC"/>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4C550DC"/>
    <w:rsid w:val="24CA313E"/>
    <w:rsid w:val="25B454E3"/>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4CFF26EB"/>
    <w:rsid w:val="50635474"/>
    <w:rsid w:val="510D00AA"/>
    <w:rsid w:val="53B91808"/>
    <w:rsid w:val="54585E17"/>
    <w:rsid w:val="55867334"/>
    <w:rsid w:val="55912732"/>
    <w:rsid w:val="574E15B7"/>
    <w:rsid w:val="598757BF"/>
    <w:rsid w:val="5A105A15"/>
    <w:rsid w:val="5D23354B"/>
    <w:rsid w:val="5D785372"/>
    <w:rsid w:val="5D94260B"/>
    <w:rsid w:val="5DAE499A"/>
    <w:rsid w:val="5F194A83"/>
    <w:rsid w:val="5F6F0FB4"/>
    <w:rsid w:val="610928EA"/>
    <w:rsid w:val="62A84C8F"/>
    <w:rsid w:val="63A30CC0"/>
    <w:rsid w:val="63F071FB"/>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2023-08-02T02:17:05Z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