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：板纸3#机复卷机前、后底辊在线喷涂修理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2.1复卷机前、后底辊在线喷涂修理技术参数</w:t>
      </w:r>
      <w:r>
        <w:rPr>
          <w:rFonts w:hint="eastAsia" w:ascii="Times New Roman" w:hAnsi="Times New Roman" w:eastAsia="宋体"/>
          <w:b w:val="0"/>
          <w:bCs/>
          <w:color w:val="auto"/>
          <w:sz w:val="24"/>
          <w:szCs w:val="24"/>
          <w:lang w:val="en-US" w:eastAsia="zh-CN"/>
        </w:rPr>
        <w:t>（复卷机最大转速2000m/min）：</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2.1.1前底辊：Φ800×5800；后底辊：Φ750×5800（带沟槽和抽气孔）；</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2.1.2喷涂材料：碳化钨；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2.1.3喷涂厚度：不小于0.1mm；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2.1.4喷涂后硬度：1200±100HV；</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2.1.5喷涂后需进行抛光并去除尖角；</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2.1.6喷涂后表面粗糙度：Ra8-10μm；</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2.1.7投标书内应注明需要招标人配合的事项；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2.1.8投标书内应有现场施工安全措施。</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2.2修理内容</w:t>
      </w:r>
      <w:r>
        <w:rPr>
          <w:rFonts w:hint="eastAsia" w:ascii="Times New Roman" w:hAnsi="Times New Roman" w:eastAsia="宋体"/>
          <w:b w:val="0"/>
          <w:bCs/>
          <w:color w:val="auto"/>
          <w:sz w:val="24"/>
          <w:szCs w:val="24"/>
          <w:lang w:val="en-US" w:eastAsia="zh-CN"/>
        </w:rPr>
        <w:t>：复卷机前、后底辊在线喷涂修理。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Ansi="宋体"/>
          <w:sz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.技术要求</w:t>
      </w:r>
      <w:r>
        <w:rPr>
          <w:rFonts w:hint="eastAsia" w:ascii="Times New Roman" w:hAnsi="Times New Roman" w:eastAsia="宋体"/>
          <w:b w:val="0"/>
          <w:bCs/>
          <w:color w:val="auto"/>
          <w:sz w:val="24"/>
          <w:szCs w:val="24"/>
        </w:rPr>
        <w:t>：按规范修理，修理后满足板纸3#机生产工艺要求。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4.项目完成时间及地点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4.1项目完成时间：初定8月份中旬（15号左右），必须在2-3日喷涂完，具体时间另行通知。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4.2项目地点：福建省三明市沙县区青州镇福建省青山纸业股份有限公司指定生产区域内。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5.1投标人应是具备独立法人资格，有资质和能力提供服务、信用良好的国内企业或国际企业。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5.2非生产单位投标必须出具生产单位的代理证书。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6.1中标方提供工作需要的喷砂、喷涂和研磨设备及附件。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6.2中标方负责修理所需设备及材料的运输。</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6.3中标方负责底辊的研磨、辊面的喷砂及清洁、辊面沟槽保护、碳化钨的喷涂和抛光。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6.4中标方负责修理数据的检测并提供修理报告。</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6.5中标方施工前应办理开工报告，并交纳安全保证金3000元；签署工程安全协议书。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6.6招标方提供现场仪表用压缩空气、电源、水源，招标方提供现场行车配合。</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：质量保证期为设备安装使用后12个月或设备到厂后18个月（以先到为准），投标人可承诺正偏离</w:t>
      </w:r>
      <w:r>
        <w:rPr>
          <w:rFonts w:hint="eastAsia" w:ascii="Times New Roman" w:hAnsi="Times New Roman" w:eastAsia="宋体"/>
          <w:b w:val="0"/>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lang w:eastAsia="zh-CN"/>
        </w:rPr>
        <w:t>.1项目验收合格后招标人财务部全额发票</w:t>
      </w:r>
      <w:r>
        <w:rPr>
          <w:rFonts w:hint="eastAsia" w:ascii="Times New Roman" w:hAnsi="Times New Roman" w:eastAsia="宋体"/>
          <w:b w:val="0"/>
          <w:bCs/>
          <w:color w:val="auto"/>
          <w:sz w:val="24"/>
          <w:szCs w:val="24"/>
          <w:lang w:val="en-US" w:eastAsia="zh-CN"/>
        </w:rPr>
        <w:t>45天</w:t>
      </w:r>
      <w:r>
        <w:rPr>
          <w:rFonts w:hint="eastAsia" w:ascii="Times New Roman" w:hAnsi="Times New Roman" w:eastAsia="宋体"/>
          <w:b w:val="0"/>
          <w:bCs/>
          <w:color w:val="auto"/>
          <w:sz w:val="24"/>
          <w:szCs w:val="24"/>
          <w:lang w:eastAsia="zh-CN"/>
        </w:rPr>
        <w:t>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，在质保期（投标方承诺最长质保期）满后三十天内付清，质保金不计利息。人民币报价和结算，中标人须开具税率为13%增值税专用发票。</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9.1本次招标采取一次性报价方式。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9.2报价必须包含现场安装指导费用。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9.2报价为含13%增值税专用发票到厂价，以一票制方式结算。</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①技术性能保证值：20分；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②所用材料品质；15分；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①类似业绩（2分）：以近三年合同复印件为准，1分/份，满分2分；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分）：质保期1年为0分，质保期</w:t>
            </w:r>
            <w:r>
              <w:rPr>
                <w:rFonts w:hint="eastAsia"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eastAsia="zh-CN"/>
              </w:rPr>
              <w:t>年以上，保质期最长的为满分3分，其它的按比例得分。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5</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0</w:t>
      </w:r>
      <w:bookmarkStart w:id="0" w:name="_GoBack"/>
      <w:bookmarkEnd w:id="0"/>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11</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1</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color w:val="auto"/>
          <w:sz w:val="24"/>
          <w:szCs w:val="24"/>
        </w:rPr>
        <w:t>已结未付款项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3SB169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2023-08-01T08:08:07Z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