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：碱回收二厂静电除尘技改工程项目</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项目内容及要求</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主要范围：负责1#2#3#三列电除尘器技改的设计、供货与检修。</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包括但不限于以下内容（对静电除尘器的技改项目内容如有争议，以招标人的方案为主）：</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bCs w:val="0"/>
          <w:color w:val="auto"/>
          <w:sz w:val="24"/>
          <w:szCs w:val="24"/>
          <w:lang w:val="en-US" w:eastAsia="zh-CN"/>
        </w:rPr>
      </w:pPr>
      <w:r>
        <w:rPr>
          <w:rFonts w:hint="eastAsia" w:ascii="Times New Roman" w:hAnsi="Times New Roman" w:eastAsia="宋体"/>
          <w:b/>
          <w:bCs w:val="0"/>
          <w:color w:val="auto"/>
          <w:sz w:val="24"/>
          <w:szCs w:val="24"/>
          <w:lang w:val="en-US" w:eastAsia="zh-CN"/>
        </w:rPr>
        <w:t>2.1技改内容</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2.1.1  1#2#静电除尘器技改内容：</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（1）阴极系统：</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腐蚀及缺失的阴极线更换和补齐；校准阴极大框架；改造阴极振打杆；优化更新阴极振打横轴轴套连接，优化更新阴极振打振打锤，优化更新阴极振打尘中轴承；优化更新磨损严重的阴极振打限位装置；</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（2）壳体腐蚀处更换（非贴补），具体数量根据现场实际情况确定；</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（3）改造人孔门（含进口封头人孔门）；人孔门周围贴板；</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（4）电场挡风系统优化提升，恢复壳体挡风；优化更新刮板机挡风；优化更新防尘罩；</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（5）内顶全部优化更新，外顶视情况改造；</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（6）调整所有异极间距；优化下横梁板定位装置（由原限位角钢更改为限位板）；</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（7）优化更新阳极振打系统（减速机利旧）；阳极振打加定位销；</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8）进出口系统优化设计：进出口封头优化改造，优化更新进出口下端封，优化增加下端封与进出口封头连接处卸灰板，优化更新进口气流均布板，优化出口阻流板，优化更新出口封头管撑，恢复进口导流板振打系统；</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（9）电场尘中走道优化，包括优化更新腐蚀的尘中走道，加强电场尘中走道的刚性；</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（10）瓷套室门检修密封优化及加热器恢复；</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（11）电除尘器壳体、进出口上下端封及内顶保温拆除与恢复。</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（12）腐蚀的阳极板部分更换。</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2.1.2  3#静电除尘器技改内容</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（1）阴极系统：极线及框架全部更新，包括振打系统；</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（2）阳极系统：极板全部更新，包括振打系统；</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壳体：壳体板全部优化更新，改造内顶，改造外顶；进出口系统腐蚀严重全部更新，进出口封头优化更新，优化更新进出口下端封，增加下端封与进出口封头连接处卸灰板，优化更新进口气流均布板，优化更新出口封头管撑，恢复进口导流板振打系统；</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（4）优化更新所有人孔门（含进口封头人孔门）；</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（5）电场挡风系统全部更新，优化更新壳体挡风；优化更新刮板机挡风；优化更新防尘罩；</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（6）电场尘中走道：包括优化更新腐蚀的尘中走道，加强电场尘中走道的刚性；</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（7）更新优化瓷套室门密封及加热器恢复。</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（8）整套电除尘器保温系统拆除与恢复：包括壳体、进出口下端封及内、外顶所有保温。</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bCs w:val="0"/>
          <w:color w:val="auto"/>
          <w:sz w:val="24"/>
          <w:szCs w:val="24"/>
          <w:lang w:val="en-US" w:eastAsia="zh-CN"/>
        </w:rPr>
      </w:pPr>
      <w:r>
        <w:rPr>
          <w:rFonts w:hint="eastAsia" w:ascii="Times New Roman" w:hAnsi="Times New Roman" w:eastAsia="宋体"/>
          <w:b/>
          <w:bCs w:val="0"/>
          <w:color w:val="auto"/>
          <w:sz w:val="24"/>
          <w:szCs w:val="24"/>
          <w:lang w:val="en-US" w:eastAsia="zh-CN"/>
        </w:rPr>
        <w:t>2.2技术要求</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2.2.1本技改工程在原电除尘器的框架上进行设计，技改后各台电除尘第一、二、三电场保持一致，不能改变原电除尘器的整体结构，静电除尘器的钢结构设计温度为300℃。</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2.2.2电场壳体板必须按照原电除尘器结构进行优化更新，改造后电场内部应平整，所有焊缝应牢固可靠、严密、光滑、无焊瘤，不得点焊或漏焊，优化更新钢板厚度为国标5mm。</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2.2.3电场优化更新的阳极板为1.5mm，spcc材质冷轧钢板，阴阳极等内件必须考虑碱炉特性，增加其使用周期。</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2.2.4进口气流均布系统必须进行气流模拟试验，气流均布板采用耐磨材质，钢板厚度为国标3mm。</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2.2.5优化更新电除尘器内顶板、进出口端封板，内顶板、端封板焊接保证气密性，钢板采用国标5mm。</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2.2.6优化更新三个电场的阳极振打轴、振打锤，振打锤采用绕臂锤，更改造后振打轴运行平稳，不能出现卡涩堵转现场。</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2.2.7优化更新三个电场的阴极线，阴极线采用spcc材质冷轧钢板，点焊工艺制作，上下螺栓链接，螺栓点焊止退。</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2.2.8项目竣工验收合格后，向招标方提供完整的竣工资料。</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bCs w:val="0"/>
          <w:color w:val="auto"/>
          <w:sz w:val="24"/>
          <w:szCs w:val="24"/>
          <w:lang w:val="en-US" w:eastAsia="zh-CN"/>
        </w:rPr>
      </w:pPr>
      <w:r>
        <w:rPr>
          <w:rFonts w:hint="eastAsia" w:ascii="Times New Roman" w:hAnsi="Times New Roman" w:eastAsia="宋体"/>
          <w:b/>
          <w:bCs w:val="0"/>
          <w:color w:val="auto"/>
          <w:sz w:val="24"/>
          <w:szCs w:val="24"/>
          <w:lang w:val="en-US" w:eastAsia="zh-CN"/>
        </w:rPr>
        <w:t>2.3验收标准：</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静电除尘验收基本要求：</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2.3.1电除尘器三电场安装完成后，阴阳极振打转动部件运行流畅，不能出现堵转现象。</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2.3.2电除尘器技改后空载升压控制柜表头显示的二次电压为45kv以上或者二次电流1#电除尘200mA、2#电除尘200 mA、3#电除尘200mA以上。</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2.3.3  168小时电除尘器运行稳定，无电场短路现场。</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2.3.4电除尘器同极间距偏差: ±6mm。</w:t>
      </w:r>
      <w:r>
        <w:rPr>
          <w:rFonts w:hint="eastAsia" w:ascii="Times New Roman" w:hAnsi="Times New Roman" w:eastAsia="宋体"/>
          <w:b w:val="0"/>
          <w:bCs/>
          <w:color w:val="auto"/>
          <w:sz w:val="24"/>
          <w:szCs w:val="24"/>
          <w:lang w:val="en-US" w:eastAsia="zh-CN"/>
        </w:rPr>
        <w:tab/>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2.3.5静电除尘的设计、制作、安装需按新国标执行。</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Ansi="宋体"/>
          <w:sz w:val="24"/>
        </w:rPr>
      </w:pP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施工地点</w:t>
      </w:r>
      <w:r>
        <w:rPr>
          <w:rFonts w:hint="eastAsia" w:ascii="Times New Roman" w:hAnsi="Times New Roman" w:eastAsia="宋体"/>
          <w:b w:val="0"/>
          <w:bCs/>
          <w:color w:val="auto"/>
          <w:sz w:val="24"/>
          <w:szCs w:val="24"/>
          <w:lang w:eastAsia="zh-CN"/>
        </w:rPr>
        <w:t>：</w:t>
      </w:r>
      <w:r>
        <w:rPr>
          <w:rFonts w:hint="eastAsia" w:ascii="Times New Roman" w:hAnsi="Times New Roman" w:eastAsia="宋体"/>
          <w:b w:val="0"/>
          <w:bCs/>
          <w:color w:val="auto"/>
          <w:sz w:val="24"/>
          <w:szCs w:val="24"/>
          <w:lang w:val="en-US" w:eastAsia="zh-CN"/>
        </w:rPr>
        <w:t>福建省三明市沙县区青州镇福建省青山纸业股份有限公司碱二厂3#碱炉</w:t>
      </w:r>
      <w:r>
        <w:rPr>
          <w:rFonts w:hAnsi="宋体"/>
          <w:sz w:val="24"/>
        </w:rPr>
        <w:t>。</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bCs w:val="0"/>
          <w:color w:val="auto"/>
          <w:sz w:val="24"/>
          <w:szCs w:val="24"/>
          <w:lang w:val="en-US" w:eastAsia="zh-CN"/>
        </w:rPr>
        <w:t>4.施工方案及工期要求</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bCs w:val="0"/>
          <w:color w:val="auto"/>
          <w:sz w:val="24"/>
          <w:szCs w:val="24"/>
          <w:lang w:val="en-US" w:eastAsia="zh-CN"/>
        </w:rPr>
      </w:pPr>
      <w:r>
        <w:rPr>
          <w:rFonts w:hint="eastAsia" w:ascii="Times New Roman" w:hAnsi="Times New Roman" w:eastAsia="宋体"/>
          <w:b/>
          <w:bCs w:val="0"/>
          <w:color w:val="auto"/>
          <w:sz w:val="24"/>
          <w:szCs w:val="24"/>
          <w:lang w:val="en-US" w:eastAsia="zh-CN"/>
        </w:rPr>
        <w:t>4.1投标方必须认真勘察现场，了解现场设备状况以及工艺运行特点，并核对图纸资料，确定可能干扰施工安装的所有因素，结合施工能力，在施工安全前提下，合理制定施工工期。如中标方未考虑周全而影响工期自负全责，招标方无责。</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bCs w:val="0"/>
          <w:color w:val="auto"/>
          <w:sz w:val="24"/>
          <w:szCs w:val="24"/>
          <w:lang w:val="en-US" w:eastAsia="zh-CN"/>
        </w:rPr>
      </w:pPr>
      <w:r>
        <w:rPr>
          <w:rFonts w:hint="eastAsia" w:ascii="Times New Roman" w:hAnsi="Times New Roman" w:eastAsia="宋体"/>
          <w:b/>
          <w:bCs w:val="0"/>
          <w:color w:val="auto"/>
          <w:sz w:val="24"/>
          <w:szCs w:val="24"/>
          <w:lang w:val="en-US" w:eastAsia="zh-CN"/>
        </w:rPr>
        <w:t>4.2投标时所报的施工工期以碱回收二厂3#碱炉的灭火时间为起点，完工交付使用时间为终点。碱回收二厂3#碱炉在灭火后，有停炉、洗炉、清灰、冷却等工序，之后才能进行电除尘的现场施工。</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bCs w:val="0"/>
          <w:color w:val="auto"/>
          <w:sz w:val="24"/>
          <w:szCs w:val="24"/>
          <w:lang w:val="en-US" w:eastAsia="zh-CN"/>
        </w:rPr>
      </w:pPr>
      <w:r>
        <w:rPr>
          <w:rFonts w:hint="eastAsia" w:ascii="Times New Roman" w:hAnsi="Times New Roman" w:eastAsia="宋体"/>
          <w:b/>
          <w:bCs w:val="0"/>
          <w:color w:val="auto"/>
          <w:sz w:val="24"/>
          <w:szCs w:val="24"/>
          <w:lang w:val="en-US" w:eastAsia="zh-CN"/>
        </w:rPr>
        <w:t>4.3中标方的实际现场施工工期与投标承诺的工期（天数）如有延迟，按照每延迟一天每台扣除人民币壹拾万元整（￥100000）合同款进行结算，直至扣完合同总额。1#、2#、3#电除尘延误时间各单独扣款再累加成总额。单台扣款＝￥100000/天*延误天数。</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bCs w:val="0"/>
          <w:color w:val="auto"/>
          <w:sz w:val="24"/>
          <w:szCs w:val="24"/>
          <w:lang w:val="en-US" w:eastAsia="zh-CN"/>
        </w:rPr>
      </w:pPr>
      <w:r>
        <w:rPr>
          <w:rFonts w:hint="eastAsia" w:ascii="Times New Roman" w:hAnsi="Times New Roman" w:eastAsia="宋体"/>
          <w:b/>
          <w:bCs w:val="0"/>
          <w:color w:val="auto"/>
          <w:sz w:val="24"/>
          <w:szCs w:val="24"/>
          <w:lang w:val="en-US" w:eastAsia="zh-CN"/>
        </w:rPr>
        <w:t>4.4  1#、2#、3#电除尘要求同时开工， 3#电除尘的项目完成时间比1#、2#电除尘可延后交付使用。1#、2#电除尘工期评分占比70%，3#电除尘工期评分占比30%（1#、2#电除尘完工交付使用的最长施工工期为1#、2#电除尘评分工期）。保温层的施工可在交付使用后进行。</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4.5施工方案必须提交三台电除尘施工组织设计（包含施工项目）、人员组织配备、设备机具投入情况等供评审。</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4.6施工方案必须分别提供三台电除尘改造所需的所有备品配件、材料清单等供评审。</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4.7施工方案须提供对现有电除尘内部结构优化而提升除尘能力的具体技术说明供评审。</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.对投标人资格要求</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5.1</w:t>
      </w:r>
      <w:r>
        <w:rPr>
          <w:rFonts w:hint="eastAsia" w:ascii="Times New Roman" w:hAnsi="Times New Roman" w:eastAsia="宋体"/>
          <w:b w:val="0"/>
          <w:bCs/>
          <w:color w:val="auto"/>
          <w:sz w:val="24"/>
          <w:szCs w:val="24"/>
          <w:lang w:eastAsia="zh-CN"/>
        </w:rPr>
        <w:t>投标人应是具有独立法人资格，有资质和能力提供服务、信用良好的国内企业。</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5.2</w:t>
      </w:r>
      <w:r>
        <w:rPr>
          <w:rFonts w:hint="eastAsia" w:ascii="Times New Roman" w:hAnsi="Times New Roman" w:eastAsia="宋体"/>
          <w:b w:val="0"/>
          <w:bCs/>
          <w:color w:val="auto"/>
          <w:sz w:val="24"/>
          <w:szCs w:val="24"/>
          <w:lang w:eastAsia="zh-CN"/>
        </w:rPr>
        <w:t>投标人应具备环保工程专业承包叁级及以上</w:t>
      </w:r>
      <w:bookmarkStart w:id="0" w:name="_GoBack"/>
      <w:bookmarkEnd w:id="0"/>
      <w:r>
        <w:rPr>
          <w:rFonts w:hint="eastAsia" w:ascii="Times New Roman" w:hAnsi="Times New Roman" w:eastAsia="宋体"/>
          <w:b w:val="0"/>
          <w:bCs/>
          <w:color w:val="auto"/>
          <w:sz w:val="24"/>
          <w:szCs w:val="24"/>
          <w:lang w:eastAsia="zh-CN"/>
        </w:rPr>
        <w:t>资质，有安全生产许可证。</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val="0"/>
          <w:bCs/>
          <w:color w:val="auto"/>
          <w:sz w:val="24"/>
          <w:szCs w:val="24"/>
          <w:lang w:val="en-US" w:eastAsia="zh-CN"/>
        </w:rPr>
        <w:t>5.3</w:t>
      </w:r>
      <w:r>
        <w:rPr>
          <w:rFonts w:hint="eastAsia" w:ascii="Times New Roman" w:hAnsi="Times New Roman" w:eastAsia="宋体"/>
          <w:b w:val="0"/>
          <w:bCs/>
          <w:color w:val="auto"/>
          <w:sz w:val="24"/>
          <w:szCs w:val="24"/>
          <w:lang w:eastAsia="zh-CN"/>
        </w:rPr>
        <w:t>投标人的经营范围应包含：制造环境保护专用设备制造。</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bCs/>
          <w:color w:val="auto"/>
          <w:sz w:val="24"/>
          <w:szCs w:val="24"/>
          <w:lang w:val="en-US" w:eastAsia="zh-CN"/>
        </w:rPr>
        <w:t>6.双方职责</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6.1</w:t>
      </w:r>
      <w:r>
        <w:rPr>
          <w:rFonts w:hint="default" w:ascii="Times New Roman" w:hAnsi="Times New Roman" w:eastAsia="宋体"/>
          <w:b w:val="0"/>
          <w:bCs w:val="0"/>
          <w:color w:val="auto"/>
          <w:sz w:val="24"/>
          <w:szCs w:val="24"/>
          <w:lang w:val="en-US" w:eastAsia="zh-CN"/>
        </w:rPr>
        <w:t>招标方负责提供现场施工用水源、施工电源，现场照明由中标方负责。</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6.2</w:t>
      </w:r>
      <w:r>
        <w:rPr>
          <w:rFonts w:hint="default" w:ascii="Times New Roman" w:hAnsi="Times New Roman" w:eastAsia="宋体"/>
          <w:b w:val="0"/>
          <w:bCs w:val="0"/>
          <w:color w:val="auto"/>
          <w:sz w:val="24"/>
          <w:szCs w:val="24"/>
          <w:lang w:val="en-US" w:eastAsia="zh-CN"/>
        </w:rPr>
        <w:t>中标方合同签订时同时签订安全协议，施工前须办理开工报告，并交纳安全保证金20000元，中标方进入招标方现场应遵守招标方相关规章制度。　</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6.3</w:t>
      </w:r>
      <w:r>
        <w:rPr>
          <w:rFonts w:hint="default" w:ascii="Times New Roman" w:hAnsi="Times New Roman" w:eastAsia="宋体"/>
          <w:b w:val="0"/>
          <w:bCs w:val="0"/>
          <w:color w:val="auto"/>
          <w:sz w:val="24"/>
          <w:szCs w:val="24"/>
          <w:lang w:val="en-US" w:eastAsia="zh-CN"/>
        </w:rPr>
        <w:t>中标方包工包料进行施工，保温的拆除及恢复均由中标方负责。</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6.4</w:t>
      </w:r>
      <w:r>
        <w:rPr>
          <w:rFonts w:hint="default" w:ascii="Times New Roman" w:hAnsi="Times New Roman" w:eastAsia="宋体"/>
          <w:b w:val="0"/>
          <w:bCs w:val="0"/>
          <w:color w:val="auto"/>
          <w:sz w:val="24"/>
          <w:szCs w:val="24"/>
          <w:lang w:val="en-US" w:eastAsia="zh-CN"/>
        </w:rPr>
        <w:t>中标方自备所有施工设备、工具等。</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6.5</w:t>
      </w:r>
      <w:r>
        <w:rPr>
          <w:rFonts w:hint="default" w:ascii="Times New Roman" w:hAnsi="Times New Roman" w:eastAsia="宋体"/>
          <w:b w:val="0"/>
          <w:bCs w:val="0"/>
          <w:color w:val="auto"/>
          <w:sz w:val="24"/>
          <w:szCs w:val="24"/>
          <w:lang w:val="en-US" w:eastAsia="zh-CN"/>
        </w:rPr>
        <w:t>中标方负责材料的制造、包装及运输费用、到达现场卸车。运输费用、起重作业、脚手架、食宿等均由中标方负责。</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6.6</w:t>
      </w:r>
      <w:r>
        <w:rPr>
          <w:rFonts w:hint="default" w:ascii="Times New Roman" w:hAnsi="Times New Roman" w:eastAsia="宋体"/>
          <w:b w:val="0"/>
          <w:bCs w:val="0"/>
          <w:color w:val="auto"/>
          <w:sz w:val="24"/>
          <w:szCs w:val="24"/>
          <w:lang w:val="en-US" w:eastAsia="zh-CN"/>
        </w:rPr>
        <w:t>中标方在施工过程中应采取必要的安全防范措施，确保招标方设备的安全，若中标方原因造成设备的损坏，中标方应负责赔偿损失。中标方安全责任自负，承担由于自身安全措施不力造成安全事故的责任和因此产生的费用。</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6.7</w:t>
      </w:r>
      <w:r>
        <w:rPr>
          <w:rFonts w:hint="default" w:ascii="Times New Roman" w:hAnsi="Times New Roman" w:eastAsia="宋体"/>
          <w:b w:val="0"/>
          <w:bCs w:val="0"/>
          <w:color w:val="auto"/>
          <w:sz w:val="24"/>
          <w:szCs w:val="24"/>
          <w:lang w:val="en-US" w:eastAsia="zh-CN"/>
        </w:rPr>
        <w:t>中标方在施工过程中废弃的物品应堆放在招标方指定的地点，并由招标方负责处理。</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6.8</w:t>
      </w:r>
      <w:r>
        <w:rPr>
          <w:rFonts w:hint="default" w:ascii="Times New Roman" w:hAnsi="Times New Roman" w:eastAsia="宋体"/>
          <w:b w:val="0"/>
          <w:bCs w:val="0"/>
          <w:color w:val="auto"/>
          <w:sz w:val="24"/>
          <w:szCs w:val="24"/>
          <w:lang w:val="en-US" w:eastAsia="zh-CN"/>
        </w:rPr>
        <w:t>中标方施工垃圾应及时清理干净，保持现场整洁。</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bCs/>
          <w:color w:val="auto"/>
          <w:sz w:val="24"/>
          <w:szCs w:val="24"/>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.质量保证</w:t>
      </w:r>
      <w:r>
        <w:rPr>
          <w:rFonts w:hint="eastAsia" w:ascii="Times New Roman" w:hAnsi="Times New Roman" w:eastAsia="宋体"/>
          <w:b w:val="0"/>
          <w:bCs/>
          <w:color w:val="auto"/>
          <w:sz w:val="24"/>
          <w:szCs w:val="24"/>
          <w:lang w:eastAsia="zh-CN"/>
        </w:rPr>
        <w:t>：质量保证期为安装调试验收合格后12个月</w:t>
      </w:r>
      <w:r>
        <w:rPr>
          <w:rFonts w:hint="eastAsia" w:ascii="Times New Roman" w:hAnsi="Times New Roman" w:eastAsia="宋体"/>
          <w:b w:val="0"/>
          <w:bCs/>
          <w:color w:val="auto"/>
          <w:sz w:val="24"/>
          <w:szCs w:val="24"/>
        </w:rPr>
        <w:t>，投标人可承诺更长的质保期。</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.付款方式</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8</w:t>
      </w:r>
      <w:r>
        <w:rPr>
          <w:rFonts w:hint="eastAsia" w:ascii="Times New Roman" w:hAnsi="Times New Roman" w:eastAsia="宋体"/>
          <w:b w:val="0"/>
          <w:bCs/>
          <w:color w:val="auto"/>
          <w:sz w:val="24"/>
          <w:szCs w:val="24"/>
          <w:lang w:eastAsia="zh-CN"/>
        </w:rPr>
        <w:t>.1本工程不支付预付款和工程进度款，工程验收合格且招标方财务部收到全额发票45天支付工程总合同价的90%（银行承兑汇票），质保金为总合同价的10</w:t>
      </w:r>
      <w:r>
        <w:rPr>
          <w:rFonts w:hint="eastAsia" w:ascii="Times New Roman" w:hAnsi="Times New Roman" w:eastAsia="宋体"/>
          <w:b w:val="0"/>
          <w:bCs/>
          <w:color w:val="auto"/>
          <w:sz w:val="24"/>
          <w:szCs w:val="24"/>
          <w:lang w:val="en-US" w:eastAsia="zh-CN"/>
        </w:rPr>
        <w:t>%</w:t>
      </w:r>
      <w:r>
        <w:rPr>
          <w:rFonts w:hint="eastAsia" w:ascii="Times New Roman" w:hAnsi="Times New Roman" w:eastAsia="宋体"/>
          <w:b w:val="0"/>
          <w:bCs/>
          <w:color w:val="auto"/>
          <w:sz w:val="24"/>
          <w:szCs w:val="24"/>
          <w:lang w:eastAsia="zh-CN"/>
        </w:rPr>
        <w:t>，在质保期满后三十天内付清，质保金不计利息。</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8</w:t>
      </w:r>
      <w:r>
        <w:rPr>
          <w:rFonts w:hint="eastAsia" w:ascii="Times New Roman" w:hAnsi="Times New Roman" w:eastAsia="宋体"/>
          <w:b w:val="0"/>
          <w:bCs/>
          <w:color w:val="auto"/>
          <w:sz w:val="24"/>
          <w:szCs w:val="24"/>
          <w:lang w:eastAsia="zh-CN"/>
        </w:rPr>
        <w:t>.2发票要求：</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8</w:t>
      </w:r>
      <w:r>
        <w:rPr>
          <w:rFonts w:hint="eastAsia" w:ascii="Times New Roman" w:hAnsi="Times New Roman" w:eastAsia="宋体"/>
          <w:b w:val="0"/>
          <w:bCs/>
          <w:color w:val="auto"/>
          <w:sz w:val="24"/>
          <w:szCs w:val="24"/>
          <w:lang w:eastAsia="zh-CN"/>
        </w:rPr>
        <w:t>.2.1中标人须为招标人开具合法、有效、完整、准确的增值税专用发票。中标人提供增值税发票税率为【13%】。</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8</w:t>
      </w:r>
      <w:r>
        <w:rPr>
          <w:rFonts w:hint="eastAsia" w:ascii="Times New Roman" w:hAnsi="Times New Roman" w:eastAsia="宋体"/>
          <w:b w:val="0"/>
          <w:bCs/>
          <w:color w:val="auto"/>
          <w:sz w:val="24"/>
          <w:szCs w:val="24"/>
          <w:lang w:eastAsia="zh-CN"/>
        </w:rPr>
        <w:t>.2.2中标人承诺，如招标人或任何第三方（包括但不限于招标人财务部、审计部、政府税务机关、独立审计机构）在任何时候发现中标人开具的发票不符合要求或存在开具无效票据（如伪造、变造、虚开、作废等），中标人应在税务机关发现或招标人通知之日起5日内重新为招标人开具合法合规符合要求的增值税发票，并承担招标人由此所产生的全部损失（包括但不限于税款、滞纳金、行政处罚等）。如中标人因开具不符合要求的发票而受到有权机关处罚，该等处罚不能作为中标人减轻或免除按照上述约定应向招标人承担责任的理由。</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8</w:t>
      </w:r>
      <w:r>
        <w:rPr>
          <w:rFonts w:hint="eastAsia" w:ascii="Times New Roman" w:hAnsi="Times New Roman" w:eastAsia="宋体"/>
          <w:b w:val="0"/>
          <w:bCs/>
          <w:color w:val="auto"/>
          <w:sz w:val="24"/>
          <w:szCs w:val="24"/>
          <w:lang w:eastAsia="zh-CN"/>
        </w:rPr>
        <w:t>.2.3出现以上情形后，若中标人拒不提供或延期提供票据，则招标人有权拒付或延期支付剩余款项，同时中标人还应向招标人支付所提供不合规发票票面总额【30%】的违约金，如给招标人造成其他损失的，中标人应予赔偿。本款中招标人拒收发票，或招标人暂停支付款项等行为，不视为招标人违约，中标人不得以此为由中止履行合同约定的义务。中标人自愿放弃请求调整违约金的权利。</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8</w:t>
      </w:r>
      <w:r>
        <w:rPr>
          <w:rFonts w:hint="eastAsia" w:ascii="Times New Roman" w:hAnsi="Times New Roman" w:eastAsia="宋体"/>
          <w:b w:val="0"/>
          <w:bCs/>
          <w:color w:val="auto"/>
          <w:sz w:val="24"/>
          <w:szCs w:val="24"/>
          <w:lang w:eastAsia="zh-CN"/>
        </w:rPr>
        <w:t>.2.4招标人有权在应付中标人的任何款项中扣除中标人应向招标人支付的违约金及损失赔偿金等，若招标人从应付中标人的款项中扣除了违约金、损失赔偿额等款项的，中标人仍应按扣除前的含税合同金额开具增值税发票。</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8</w:t>
      </w:r>
      <w:r>
        <w:rPr>
          <w:rFonts w:hint="eastAsia" w:ascii="Times New Roman" w:hAnsi="Times New Roman" w:eastAsia="宋体"/>
          <w:b w:val="0"/>
          <w:bCs/>
          <w:color w:val="auto"/>
          <w:sz w:val="24"/>
          <w:szCs w:val="24"/>
          <w:lang w:eastAsia="zh-CN"/>
        </w:rPr>
        <w:t>.2.5若中标人由一般纳税人身份变为小规模纳税人身份的，或计税方法、政策法规规范性文件发生变化的，并导致招标人可抵扣的进项税额减少或被税务机关要求补缴税款的，减少的进项税额或补缴的税款由中标人承担，招标人有权从应付中标人的款项中扣除。</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bCs w:val="0"/>
          <w:color w:val="auto"/>
          <w:sz w:val="24"/>
          <w:szCs w:val="24"/>
          <w:lang w:val="en-US" w:eastAsia="zh-CN"/>
        </w:rPr>
        <w:t>8</w:t>
      </w:r>
      <w:r>
        <w:rPr>
          <w:rFonts w:hint="eastAsia" w:ascii="Times New Roman" w:hAnsi="Times New Roman" w:eastAsia="宋体"/>
          <w:b/>
          <w:bCs w:val="0"/>
          <w:color w:val="auto"/>
          <w:sz w:val="24"/>
          <w:szCs w:val="24"/>
          <w:lang w:eastAsia="zh-CN"/>
        </w:rPr>
        <w:t>.3付款方式不得偏离，否则投标将被否决。</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9.1</w:t>
      </w:r>
      <w:r>
        <w:rPr>
          <w:rFonts w:ascii="Times New Roman" w:hAnsi="Times New Roman" w:eastAsia="宋体"/>
          <w:color w:val="auto"/>
          <w:sz w:val="24"/>
          <w:szCs w:val="24"/>
        </w:rPr>
        <w:t>本次招标采取一次性报价方式。</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2报价为含增值税到厂价，报价表中须说明增值税税率，以一票制方式结算</w:t>
      </w:r>
      <w:r>
        <w:rPr>
          <w:rFonts w:hint="eastAsia" w:ascii="Times New Roman" w:hAnsi="Times New Roman" w:eastAsia="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10</w:t>
      </w:r>
      <w:r>
        <w:rPr>
          <w:rFonts w:hint="eastAsia" w:ascii="Times New Roman" w:hAnsi="Times New Roman" w:eastAsia="宋体"/>
          <w:b/>
          <w:color w:val="auto"/>
          <w:sz w:val="24"/>
          <w:szCs w:val="24"/>
        </w:rPr>
        <w:t>.评标办法</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评分项目：</w:t>
      </w:r>
    </w:p>
    <w:tbl>
      <w:tblPr>
        <w:tblStyle w:val="12"/>
        <w:tblW w:w="9057" w:type="dxa"/>
        <w:jc w:val="center"/>
        <w:tblInd w:w="143"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687"/>
        <w:gridCol w:w="1401"/>
        <w:gridCol w:w="743"/>
        <w:gridCol w:w="622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6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401"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43"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622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6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401"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43"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6</w:t>
            </w:r>
            <w:r>
              <w:rPr>
                <w:rFonts w:ascii="Times New Roman" w:hAnsi="Times New Roman" w:eastAsia="宋体" w:cs="Times New Roman"/>
                <w:color w:val="auto"/>
                <w:kern w:val="0"/>
                <w:szCs w:val="21"/>
              </w:rPr>
              <w:t>0分</w:t>
            </w:r>
          </w:p>
        </w:tc>
        <w:tc>
          <w:tcPr>
            <w:tcW w:w="622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F=60-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AG-AD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6</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 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363" w:hRule="atLeast"/>
          <w:jc w:val="center"/>
        </w:trPr>
        <w:tc>
          <w:tcPr>
            <w:tcW w:w="6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401"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43"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35</w:t>
            </w:r>
            <w:r>
              <w:rPr>
                <w:rFonts w:ascii="Times New Roman" w:hAnsi="Times New Roman" w:eastAsia="宋体" w:cs="Times New Roman"/>
                <w:color w:val="auto"/>
                <w:kern w:val="0"/>
                <w:szCs w:val="21"/>
              </w:rPr>
              <w:t>分</w:t>
            </w:r>
          </w:p>
        </w:tc>
        <w:tc>
          <w:tcPr>
            <w:tcW w:w="622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①施工安装方案（含安全措施、技术优化措施）：20分；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②备品、材料数量和品质：5分；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③现场施工工期：10分，1#、2#电除尘工期评分占比70%，3#电除尘工期评分占比30% 。</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工期评分计算公式：</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lang w:val="en-US" w:eastAsia="zh-CN"/>
              </w:rPr>
            </w:pPr>
            <w:r>
              <w:rPr>
                <w:rFonts w:hint="eastAsia" w:ascii="Times New Roman" w:hAnsi="Times New Roman" w:eastAsia="宋体" w:cs="Times New Roman"/>
                <w:color w:val="auto"/>
                <w:kern w:val="0"/>
                <w:szCs w:val="21"/>
                <w:lang w:val="en-US" w:eastAsia="zh-CN"/>
              </w:rPr>
              <w:t>F=[7-(A</w:t>
            </w:r>
            <w:r>
              <w:rPr>
                <w:rFonts w:hint="eastAsia" w:ascii="Times New Roman" w:hAnsi="Times New Roman" w:eastAsia="宋体" w:cs="Times New Roman"/>
                <w:color w:val="auto"/>
                <w:kern w:val="0"/>
                <w:szCs w:val="21"/>
                <w:vertAlign w:val="subscript"/>
                <w:lang w:val="en-US" w:eastAsia="zh-CN"/>
              </w:rPr>
              <w:t>12</w:t>
            </w:r>
            <w:r>
              <w:rPr>
                <w:rFonts w:hint="eastAsia" w:ascii="Times New Roman" w:hAnsi="Times New Roman" w:eastAsia="宋体" w:cs="Times New Roman"/>
                <w:color w:val="auto"/>
                <w:kern w:val="0"/>
                <w:szCs w:val="21"/>
                <w:lang w:val="en-US" w:eastAsia="zh-CN"/>
              </w:rPr>
              <w:t>-AD</w:t>
            </w:r>
            <w:r>
              <w:rPr>
                <w:rFonts w:hint="eastAsia" w:ascii="Times New Roman" w:hAnsi="Times New Roman" w:eastAsia="宋体" w:cs="Times New Roman"/>
                <w:color w:val="auto"/>
                <w:kern w:val="0"/>
                <w:szCs w:val="21"/>
                <w:vertAlign w:val="subscript"/>
                <w:lang w:val="en-US" w:eastAsia="zh-CN"/>
              </w:rPr>
              <w:t>12</w:t>
            </w:r>
            <w:r>
              <w:rPr>
                <w:rFonts w:hint="eastAsia" w:ascii="Times New Roman" w:hAnsi="Times New Roman" w:eastAsia="宋体" w:cs="Times New Roman"/>
                <w:color w:val="auto"/>
                <w:kern w:val="0"/>
                <w:szCs w:val="21"/>
                <w:lang w:val="en-US" w:eastAsia="zh-CN"/>
              </w:rPr>
              <w:t>)÷(AG</w:t>
            </w:r>
            <w:r>
              <w:rPr>
                <w:rFonts w:hint="eastAsia" w:ascii="Times New Roman" w:hAnsi="Times New Roman" w:eastAsia="宋体" w:cs="Times New Roman"/>
                <w:color w:val="auto"/>
                <w:kern w:val="0"/>
                <w:szCs w:val="21"/>
                <w:vertAlign w:val="subscript"/>
                <w:lang w:val="en-US" w:eastAsia="zh-CN"/>
              </w:rPr>
              <w:t>12</w:t>
            </w:r>
            <w:r>
              <w:rPr>
                <w:rFonts w:hint="eastAsia" w:ascii="Times New Roman" w:hAnsi="Times New Roman" w:eastAsia="宋体" w:cs="Times New Roman"/>
                <w:color w:val="auto"/>
                <w:kern w:val="0"/>
                <w:szCs w:val="21"/>
                <w:lang w:val="en-US" w:eastAsia="zh-CN"/>
              </w:rPr>
              <w:t>-AD</w:t>
            </w:r>
            <w:r>
              <w:rPr>
                <w:rFonts w:hint="eastAsia" w:ascii="Times New Roman" w:hAnsi="Times New Roman" w:eastAsia="宋体" w:cs="Times New Roman"/>
                <w:color w:val="auto"/>
                <w:kern w:val="0"/>
                <w:szCs w:val="21"/>
                <w:vertAlign w:val="subscript"/>
                <w:lang w:val="en-US" w:eastAsia="zh-CN"/>
              </w:rPr>
              <w:t>12</w:t>
            </w:r>
            <w:r>
              <w:rPr>
                <w:rFonts w:hint="eastAsia" w:ascii="Times New Roman" w:hAnsi="Times New Roman" w:eastAsia="宋体" w:cs="Times New Roman"/>
                <w:color w:val="auto"/>
                <w:kern w:val="0"/>
                <w:szCs w:val="21"/>
                <w:lang w:val="en-US" w:eastAsia="zh-CN"/>
              </w:rPr>
              <w:t>)×7]+[3-(A</w:t>
            </w:r>
            <w:r>
              <w:rPr>
                <w:rFonts w:hint="eastAsia" w:ascii="Times New Roman" w:hAnsi="Times New Roman" w:eastAsia="宋体" w:cs="Times New Roman"/>
                <w:color w:val="auto"/>
                <w:kern w:val="0"/>
                <w:szCs w:val="21"/>
                <w:vertAlign w:val="subscript"/>
                <w:lang w:val="en-US" w:eastAsia="zh-CN"/>
              </w:rPr>
              <w:t>3</w:t>
            </w:r>
            <w:r>
              <w:rPr>
                <w:rFonts w:hint="eastAsia" w:ascii="Times New Roman" w:hAnsi="Times New Roman" w:eastAsia="宋体" w:cs="Times New Roman"/>
                <w:color w:val="auto"/>
                <w:kern w:val="0"/>
                <w:szCs w:val="21"/>
                <w:lang w:val="en-US" w:eastAsia="zh-CN"/>
              </w:rPr>
              <w:t>-AD</w:t>
            </w:r>
            <w:r>
              <w:rPr>
                <w:rFonts w:hint="eastAsia" w:ascii="Times New Roman" w:hAnsi="Times New Roman" w:eastAsia="宋体" w:cs="Times New Roman"/>
                <w:color w:val="auto"/>
                <w:kern w:val="0"/>
                <w:szCs w:val="21"/>
                <w:vertAlign w:val="subscript"/>
                <w:lang w:val="en-US" w:eastAsia="zh-CN"/>
              </w:rPr>
              <w:t>3</w:t>
            </w:r>
            <w:r>
              <w:rPr>
                <w:rFonts w:hint="eastAsia" w:ascii="Times New Roman" w:hAnsi="Times New Roman" w:eastAsia="宋体" w:cs="Times New Roman"/>
                <w:color w:val="auto"/>
                <w:kern w:val="0"/>
                <w:szCs w:val="21"/>
                <w:lang w:val="en-US" w:eastAsia="zh-CN"/>
              </w:rPr>
              <w:t>)÷(AG</w:t>
            </w:r>
            <w:r>
              <w:rPr>
                <w:rFonts w:hint="eastAsia" w:ascii="Times New Roman" w:hAnsi="Times New Roman" w:eastAsia="宋体" w:cs="Times New Roman"/>
                <w:color w:val="auto"/>
                <w:kern w:val="0"/>
                <w:szCs w:val="21"/>
                <w:vertAlign w:val="subscript"/>
                <w:lang w:val="en-US" w:eastAsia="zh-CN"/>
              </w:rPr>
              <w:t>3</w:t>
            </w:r>
            <w:r>
              <w:rPr>
                <w:rFonts w:hint="eastAsia" w:ascii="Times New Roman" w:hAnsi="Times New Roman" w:eastAsia="宋体" w:cs="Times New Roman"/>
                <w:color w:val="auto"/>
                <w:kern w:val="0"/>
                <w:szCs w:val="21"/>
                <w:lang w:val="en-US" w:eastAsia="zh-CN"/>
              </w:rPr>
              <w:t>-AD</w:t>
            </w:r>
            <w:r>
              <w:rPr>
                <w:rFonts w:hint="eastAsia" w:ascii="Times New Roman" w:hAnsi="Times New Roman" w:eastAsia="宋体" w:cs="Times New Roman"/>
                <w:color w:val="auto"/>
                <w:kern w:val="0"/>
                <w:szCs w:val="21"/>
                <w:vertAlign w:val="subscript"/>
                <w:lang w:val="en-US" w:eastAsia="zh-CN"/>
              </w:rPr>
              <w:t>3</w:t>
            </w:r>
            <w:r>
              <w:rPr>
                <w:rFonts w:hint="eastAsia" w:ascii="Times New Roman" w:hAnsi="Times New Roman" w:eastAsia="宋体" w:cs="Times New Roman"/>
                <w:color w:val="auto"/>
                <w:kern w:val="0"/>
                <w:szCs w:val="21"/>
                <w:lang w:val="en-US" w:eastAsia="zh-CN"/>
              </w:rPr>
              <w:t>)×3</w:t>
            </w:r>
            <w:r>
              <w:rPr>
                <w:rFonts w:hint="eastAsia" w:ascii="Times New Roman" w:hAnsi="Times New Roman" w:eastAsia="宋体"/>
                <w:lang w:val="en-US" w:eastAsia="zh-CN"/>
              </w:rPr>
              <w:t>]</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lang w:val="en-US" w:eastAsia="zh-CN"/>
              </w:rPr>
            </w:pPr>
            <w:r>
              <w:rPr>
                <w:rFonts w:hint="eastAsia" w:ascii="Times New Roman" w:hAnsi="Times New Roman" w:eastAsia="宋体"/>
                <w:lang w:val="en-US" w:eastAsia="zh-CN"/>
              </w:rPr>
              <w:t>A：投标人承诺的工期；</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lang w:val="en-US" w:eastAsia="zh-CN"/>
              </w:rPr>
            </w:pPr>
            <w:r>
              <w:rPr>
                <w:rFonts w:hint="eastAsia" w:ascii="Times New Roman" w:hAnsi="Times New Roman" w:eastAsia="宋体"/>
                <w:lang w:val="en-US" w:eastAsia="zh-CN"/>
              </w:rPr>
              <w:t>AG：所有投标人承诺的工期中最长的工期；</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lang w:val="en-US" w:eastAsia="zh-CN"/>
              </w:rPr>
            </w:pPr>
            <w:r>
              <w:rPr>
                <w:rFonts w:hint="eastAsia" w:ascii="Times New Roman" w:hAnsi="Times New Roman" w:eastAsia="宋体"/>
                <w:lang w:val="en-US" w:eastAsia="zh-CN"/>
              </w:rPr>
              <w:t>AD：所有投标人承诺的工期中最短的工期；</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lang w:val="en-US" w:eastAsia="zh-CN"/>
              </w:rPr>
            </w:pPr>
            <w:r>
              <w:rPr>
                <w:rFonts w:hint="eastAsia" w:ascii="Times New Roman" w:hAnsi="Times New Roman" w:eastAsia="宋体"/>
                <w:lang w:val="en-US" w:eastAsia="zh-CN"/>
              </w:rPr>
              <w:t>下标12表示：1#、2#电除尘评审工期，即1#、2#电除尘完工交付使用的最长施工工期；</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eastAsia="宋体"/>
                <w:lang w:val="en-US" w:eastAsia="zh-CN"/>
              </w:rPr>
            </w:pPr>
            <w:r>
              <w:rPr>
                <w:rFonts w:hint="eastAsia" w:ascii="Times New Roman" w:hAnsi="Times New Roman" w:eastAsia="宋体" w:cs="Times New Roman"/>
                <w:color w:val="auto"/>
                <w:kern w:val="0"/>
                <w:szCs w:val="21"/>
                <w:lang w:val="en-US" w:eastAsia="zh-CN"/>
              </w:rPr>
              <w:t>下标3表示</w:t>
            </w:r>
            <w:r>
              <w:rPr>
                <w:rFonts w:hint="eastAsia" w:ascii="Times New Roman" w:hAnsi="Times New Roman" w:eastAsia="宋体"/>
                <w:lang w:val="en-US" w:eastAsia="zh-CN"/>
              </w:rPr>
              <w:t>：3#电除尘评审工期。</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6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401"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质保</w:t>
            </w:r>
          </w:p>
        </w:tc>
        <w:tc>
          <w:tcPr>
            <w:tcW w:w="743"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622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①类似业绩：3分，1分/份合同（以合同复印件为准），封顶3分，与招标人的合同提供合同号即可；</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②质保承诺：2分（1年1分，1年以上每增加六个月得0.5分，最高2分）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6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401"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43"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val="en-US" w:eastAsia="zh-CN"/>
              </w:rPr>
            </w:pPr>
            <w:r>
              <w:rPr>
                <w:rFonts w:hint="eastAsia" w:ascii="宋体" w:hAnsi="宋体" w:eastAsia="宋体" w:cs="宋体"/>
                <w:color w:val="auto"/>
                <w:kern w:val="0"/>
                <w:szCs w:val="21"/>
                <w:lang w:val="en-US" w:eastAsia="zh-CN"/>
              </w:rPr>
              <w:t>/</w:t>
            </w:r>
          </w:p>
        </w:tc>
        <w:tc>
          <w:tcPr>
            <w:tcW w:w="622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color w:val="auto"/>
                <w:kern w:val="0"/>
                <w:szCs w:val="21"/>
                <w:lang w:val="en-US" w:eastAsia="zh-CN"/>
              </w:rPr>
              <w:t>付款方式不得偏离，否则投标将被否决。</w:t>
            </w:r>
          </w:p>
        </w:tc>
      </w:tr>
    </w:tbl>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11</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highlight w:val="none"/>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8</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7</w:t>
      </w:r>
      <w:r>
        <w:rPr>
          <w:rFonts w:ascii="Times New Roman" w:hAnsi="Times New Roman" w:eastAsia="宋体"/>
          <w:color w:val="auto"/>
          <w:sz w:val="24"/>
          <w:szCs w:val="24"/>
        </w:rPr>
        <w:t>日</w:t>
      </w: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w:t>
      </w:r>
      <w:r>
        <w:rPr>
          <w:rFonts w:ascii="Times New Roman" w:hAnsi="Times New Roman" w:eastAsia="宋体"/>
          <w:color w:val="auto"/>
          <w:sz w:val="24"/>
          <w:szCs w:val="24"/>
          <w:highlight w:val="none"/>
        </w:rPr>
        <w:t>楼招标办会议室公开开标。</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11</w:t>
      </w:r>
      <w:r>
        <w:rPr>
          <w:rFonts w:ascii="Times New Roman" w:hAnsi="Times New Roman" w:eastAsia="宋体"/>
          <w:color w:val="auto"/>
          <w:sz w:val="24"/>
          <w:szCs w:val="24"/>
          <w:highlight w:val="none"/>
        </w:rPr>
        <w:t>.2参与方式：</w:t>
      </w:r>
      <w:r>
        <w:rPr>
          <w:rFonts w:hint="eastAsia" w:ascii="Times New Roman" w:hAnsi="Times New Roman" w:eastAsia="宋体"/>
          <w:color w:val="auto"/>
          <w:sz w:val="24"/>
          <w:szCs w:val="24"/>
          <w:highlight w:val="none"/>
          <w:lang w:eastAsia="zh-CN"/>
        </w:rPr>
        <w:t>（</w:t>
      </w:r>
      <w:r>
        <w:rPr>
          <w:rFonts w:hint="eastAsia" w:ascii="Times New Roman" w:hAnsi="Times New Roman" w:eastAsia="宋体"/>
          <w:color w:val="auto"/>
          <w:sz w:val="24"/>
          <w:szCs w:val="24"/>
          <w:highlight w:val="none"/>
        </w:rPr>
        <w:t>以下三种参与方式投标人可任选一种</w:t>
      </w:r>
      <w:r>
        <w:rPr>
          <w:rFonts w:hint="eastAsia" w:ascii="Times New Roman" w:hAnsi="Times New Roman" w:eastAsia="宋体"/>
          <w:color w:val="auto"/>
          <w:sz w:val="24"/>
          <w:szCs w:val="24"/>
          <w:highlight w:val="none"/>
          <w:lang w:eastAsia="zh-CN"/>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rPr>
        <w:t>1</w:t>
      </w:r>
      <w:r>
        <w:rPr>
          <w:rFonts w:hint="eastAsia" w:ascii="Times New Roman" w:hAnsi="Times New Roman" w:eastAsia="宋体"/>
          <w:color w:val="auto"/>
          <w:sz w:val="24"/>
          <w:szCs w:val="24"/>
          <w:highlight w:val="none"/>
          <w:lang w:val="en-US" w:eastAsia="zh-CN"/>
        </w:rPr>
        <w:t>1</w:t>
      </w:r>
      <w:r>
        <w:rPr>
          <w:rFonts w:hint="eastAsia" w:ascii="Times New Roman" w:hAnsi="Times New Roman" w:eastAsia="宋体"/>
          <w:color w:val="auto"/>
          <w:sz w:val="24"/>
          <w:szCs w:val="24"/>
          <w:highlight w:val="none"/>
        </w:rPr>
        <w:t>.2.1现场：参与现场投标的，投标人应于开标之前将投标文件送至青山纸业文化楼4楼招标办会议室。</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11.2.3网络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1"/>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.投标及履约保证金</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highlight w:val="none"/>
          <w:lang w:val="en-US" w:eastAsia="zh-CN"/>
        </w:rPr>
        <w:t>8000</w:t>
      </w:r>
      <w:r>
        <w:rPr>
          <w:rFonts w:ascii="Times New Roman" w:hAnsi="Times New Roman" w:eastAsia="宋体"/>
          <w:color w:val="auto"/>
          <w:sz w:val="24"/>
          <w:szCs w:val="24"/>
          <w:highlight w:val="none"/>
        </w:rPr>
        <w:t>元。</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.2.1银行电汇；（开户银行：工商银行沙县青州支行、账户名：福建省青山纸业股份有限公司、账号：1404049409001000160。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b/>
          <w:bCs/>
          <w:color w:val="FF0000"/>
          <w:sz w:val="24"/>
          <w:szCs w:val="24"/>
        </w:rPr>
        <w:t>汇款人须注明</w:t>
      </w:r>
      <w:r>
        <w:rPr>
          <w:rFonts w:hint="eastAsia" w:ascii="Times New Roman" w:hAnsi="Times New Roman" w:eastAsia="宋体"/>
          <w:b/>
          <w:bCs/>
          <w:color w:val="FF0000"/>
          <w:sz w:val="24"/>
          <w:szCs w:val="24"/>
        </w:rPr>
        <w:t>参与的招标编号</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.2.2投标保证金函；若本公司与投标人尚有</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（各类未到期的保证金除外）且数额足够抵扣投标保证金时，投标人可出具正式公函明确要求本公司从其</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中转扣</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w:t>
      </w:r>
      <w:r>
        <w:rPr>
          <w:rFonts w:hint="eastAsia" w:ascii="Times New Roman" w:hAnsi="Times New Roman" w:eastAsia="宋体"/>
          <w:color w:val="auto"/>
          <w:sz w:val="24"/>
          <w:szCs w:val="24"/>
          <w:u w:val="none"/>
          <w:lang w:eastAsia="zh-CN"/>
        </w:rPr>
        <w:t>格式见附件</w:t>
      </w:r>
      <w:r>
        <w:rPr>
          <w:rFonts w:hint="eastAsia" w:ascii="Times New Roman" w:hAnsi="Times New Roman" w:eastAsia="宋体"/>
          <w:color w:val="auto"/>
          <w:sz w:val="24"/>
          <w:szCs w:val="24"/>
          <w:u w:val="none"/>
          <w:lang w:val="en-US" w:eastAsia="zh-CN"/>
        </w:rPr>
        <w:t>1</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.4未中标的投标人的投标保证金，以电汇形式的将在一星期内退还；以</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转抵形式的将转回</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并按正常渠道结算。</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.5中标的投标人的投标保证金，将在中标人签订合同时转为履约保证金，合同按时履行完毕后予以</w:t>
      </w:r>
      <w:r>
        <w:rPr>
          <w:rFonts w:hint="eastAsia" w:ascii="Times New Roman" w:hAnsi="Times New Roman" w:eastAsia="宋体"/>
          <w:color w:val="auto"/>
          <w:sz w:val="24"/>
          <w:szCs w:val="24"/>
          <w:lang w:eastAsia="zh-CN"/>
        </w:rPr>
        <w:t>无息</w:t>
      </w:r>
      <w:r>
        <w:rPr>
          <w:rFonts w:ascii="Times New Roman" w:hAnsi="Times New Roman" w:eastAsia="宋体"/>
          <w:color w:val="auto"/>
          <w:sz w:val="24"/>
          <w:szCs w:val="24"/>
        </w:rPr>
        <w:t>退还，以</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转抵形式的将转回</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并按正常渠道结算。</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.6如投标人有下列情况发生时，其</w:t>
      </w:r>
      <w:r>
        <w:rPr>
          <w:rFonts w:ascii="Times New Roman" w:hAnsi="Times New Roman" w:eastAsia="宋体"/>
          <w:b/>
          <w:bCs/>
          <w:color w:val="auto"/>
          <w:sz w:val="24"/>
          <w:szCs w:val="24"/>
        </w:rPr>
        <w:t>投标保证金将被不予退还</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.6.4其他违反法律规定的。</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13.1.1投标保证金凭证：银行电汇回单或投标保证金函。</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5</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技术方案（包括第</w:t>
      </w:r>
      <w:r>
        <w:rPr>
          <w:rFonts w:hint="eastAsia" w:ascii="Times New Roman" w:hAnsi="Times New Roman" w:eastAsia="宋体"/>
          <w:color w:val="auto"/>
          <w:sz w:val="24"/>
          <w:szCs w:val="24"/>
          <w:lang w:val="en-US" w:eastAsia="zh-CN"/>
        </w:rPr>
        <w:t>10.2条</w:t>
      </w:r>
      <w:r>
        <w:rPr>
          <w:rFonts w:hint="eastAsia" w:ascii="Times New Roman" w:hAnsi="Times New Roman" w:eastAsia="宋体"/>
          <w:color w:val="auto"/>
          <w:sz w:val="24"/>
          <w:szCs w:val="24"/>
          <w:lang w:eastAsia="zh-CN"/>
        </w:rPr>
        <w:t>技术评审打分项的内容）</w:t>
      </w:r>
      <w:r>
        <w:rPr>
          <w:rFonts w:hint="eastAsia" w:ascii="Times New Roman" w:hAnsi="Times New Roman" w:eastAsia="宋体"/>
          <w:color w:val="auto"/>
          <w:sz w:val="24"/>
          <w:szCs w:val="24"/>
        </w:rPr>
        <w:t>；b.</w:t>
      </w:r>
      <w:r>
        <w:rPr>
          <w:rFonts w:hint="eastAsia" w:ascii="Times New Roman" w:hAnsi="Times New Roman" w:eastAsia="宋体"/>
          <w:color w:val="auto"/>
          <w:sz w:val="24"/>
          <w:szCs w:val="24"/>
          <w:lang w:eastAsia="zh-CN"/>
        </w:rPr>
        <w:t>工</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、质保承诺；c.</w:t>
      </w:r>
      <w:r>
        <w:rPr>
          <w:rFonts w:hint="eastAsia" w:ascii="Times New Roman" w:hAnsi="Times New Roman" w:eastAsia="宋体"/>
          <w:color w:val="auto"/>
          <w:sz w:val="24"/>
          <w:szCs w:val="24"/>
          <w:lang w:eastAsia="zh-CN"/>
        </w:rPr>
        <w:t>类似</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lang w:eastAsia="zh-CN"/>
        </w:rPr>
        <w:t>（与招标人的合同提供合同号即可）</w:t>
      </w:r>
      <w:r>
        <w:rPr>
          <w:rFonts w:hint="eastAsia" w:ascii="Times New Roman" w:hAnsi="Times New Roman" w:eastAsia="宋体"/>
          <w:color w:val="auto"/>
          <w:sz w:val="24"/>
          <w:szCs w:val="24"/>
        </w:rPr>
        <w:t>；d.</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；e.招标</w:t>
      </w:r>
      <w:r>
        <w:rPr>
          <w:rFonts w:ascii="Times New Roman" w:hAnsi="Times New Roman" w:eastAsia="宋体"/>
          <w:color w:val="auto"/>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1"/>
          <w:rFonts w:ascii="Times New Roman" w:hAnsi="Times New Roman" w:eastAsia="宋体" w:cs="Times New Roman"/>
          <w:color w:val="0000FF"/>
          <w:sz w:val="24"/>
          <w:szCs w:val="24"/>
          <w:shd w:val="clear" w:color="auto" w:fill="FFFFFF"/>
        </w:rPr>
        <w:t>www.qingshanpaper.com</w:t>
      </w:r>
      <w:r>
        <w:rPr>
          <w:rStyle w:val="11"/>
          <w:rFonts w:ascii="Times New Roman" w:hAnsi="Times New Roman" w:eastAsia="宋体" w:cs="Times New Roman"/>
          <w:color w:val="0000FF"/>
          <w:sz w:val="24"/>
          <w:szCs w:val="24"/>
          <w:shd w:val="clear" w:color="auto" w:fill="FFFFFF"/>
        </w:rPr>
        <w:fldChar w:fldCharType="end"/>
      </w:r>
      <w:r>
        <w:rPr>
          <w:rStyle w:val="11"/>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1"/>
          <w:rFonts w:hint="eastAsia" w:ascii="Times New Roman" w:hAnsi="Times New Roman" w:eastAsia="宋体" w:cs="Times New Roman"/>
          <w:color w:val="auto"/>
          <w:sz w:val="24"/>
          <w:szCs w:val="24"/>
          <w:u w:val="none"/>
          <w:shd w:val="clear" w:color="auto" w:fill="FFFFFF"/>
          <w:lang w:eastAsia="zh-CN"/>
        </w:rPr>
        <w:fldChar w:fldCharType="begin"/>
      </w:r>
      <w:r>
        <w:rPr>
          <w:rStyle w:val="11"/>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1"/>
          <w:rFonts w:hint="eastAsia" w:ascii="Times New Roman" w:hAnsi="Times New Roman" w:eastAsia="宋体" w:cs="Times New Roman"/>
          <w:color w:val="auto"/>
          <w:sz w:val="24"/>
          <w:szCs w:val="24"/>
          <w:u w:val="none"/>
          <w:shd w:val="clear" w:color="auto" w:fill="FFFFFF"/>
          <w:lang w:eastAsia="zh-CN"/>
        </w:rPr>
        <w:fldChar w:fldCharType="separate"/>
      </w:r>
      <w:r>
        <w:rPr>
          <w:rStyle w:val="11"/>
          <w:rFonts w:hint="eastAsia" w:ascii="Times New Roman" w:hAnsi="Times New Roman" w:eastAsia="宋体" w:cs="Times New Roman"/>
          <w:sz w:val="24"/>
          <w:szCs w:val="24"/>
          <w:shd w:val="clear" w:color="auto" w:fill="FFFFFF"/>
          <w:lang w:eastAsia="zh-CN"/>
        </w:rPr>
        <w:t>www.fjqfkg.com</w:t>
      </w:r>
      <w:r>
        <w:rPr>
          <w:rStyle w:val="11"/>
          <w:rFonts w:hint="eastAsia" w:ascii="Times New Roman" w:hAnsi="Times New Roman" w:eastAsia="宋体" w:cs="Times New Roman"/>
          <w:color w:val="auto"/>
          <w:sz w:val="24"/>
          <w:szCs w:val="24"/>
          <w:u w:val="none"/>
          <w:shd w:val="clear" w:color="auto" w:fill="FFFFFF"/>
          <w:lang w:eastAsia="zh-CN"/>
        </w:rPr>
        <w:fldChar w:fldCharType="end"/>
      </w:r>
      <w:r>
        <w:rPr>
          <w:rStyle w:val="11"/>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1"/>
          <w:rFonts w:hint="eastAsia" w:ascii="Times New Roman" w:hAnsi="Times New Roman" w:eastAsia="宋体"/>
          <w:b w:val="0"/>
          <w:bCs w:val="0"/>
          <w:sz w:val="24"/>
          <w:szCs w:val="24"/>
          <w:lang w:eastAsia="zh-CN"/>
        </w:rPr>
        <w:t>https:</w:t>
      </w:r>
      <w:r>
        <w:rPr>
          <w:rStyle w:val="11"/>
          <w:rFonts w:hint="eastAsia" w:ascii="Times New Roman" w:hAnsi="Times New Roman" w:eastAsia="宋体"/>
          <w:b w:val="0"/>
          <w:bCs w:val="0"/>
          <w:sz w:val="24"/>
          <w:szCs w:val="24"/>
          <w:lang w:val="en-US" w:eastAsia="zh-CN"/>
        </w:rPr>
        <w:t>//</w:t>
      </w:r>
      <w:r>
        <w:rPr>
          <w:rStyle w:val="11"/>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1"/>
          <w:rFonts w:hint="eastAsia" w:ascii="Times New Roman" w:hAnsi="Times New Roman" w:eastAsia="宋体" w:cs="Times New Roman"/>
          <w:sz w:val="24"/>
          <w:szCs w:val="24"/>
          <w:shd w:val="clear" w:color="auto" w:fill="FFFFFF"/>
        </w:rPr>
        <w:t>ht</w:t>
      </w:r>
      <w:r>
        <w:rPr>
          <w:rStyle w:val="11"/>
          <w:rFonts w:hint="eastAsia" w:ascii="Times New Roman" w:hAnsi="Times New Roman" w:cs="Times New Roman"/>
          <w:sz w:val="24"/>
          <w:szCs w:val="24"/>
          <w:shd w:val="clear" w:color="auto" w:fill="FFFFFF"/>
          <w:lang w:val="en-US" w:eastAsia="zh-CN"/>
        </w:rPr>
        <w:t>tp://y</w:t>
      </w:r>
      <w:r>
        <w:rPr>
          <w:rStyle w:val="11"/>
          <w:rFonts w:hint="eastAsia" w:ascii="Times New Roman" w:hAnsi="Times New Roman" w:eastAsia="宋体" w:cs="Times New Roman"/>
          <w:sz w:val="24"/>
          <w:szCs w:val="24"/>
          <w:shd w:val="clear" w:color="auto" w:fill="FFFFFF"/>
        </w:rPr>
        <w:t>gcg</w:t>
      </w:r>
      <w:r>
        <w:rPr>
          <w:rStyle w:val="11"/>
          <w:rFonts w:hint="eastAsia" w:ascii="Times New Roman" w:hAnsi="Times New Roman" w:cs="Times New Roman"/>
          <w:sz w:val="24"/>
          <w:szCs w:val="24"/>
          <w:shd w:val="clear" w:color="auto" w:fill="FFFFFF"/>
          <w:lang w:val="en-US" w:eastAsia="zh-CN"/>
        </w:rPr>
        <w:t>.</w:t>
      </w:r>
      <w:r>
        <w:rPr>
          <w:rStyle w:val="11"/>
          <w:rFonts w:hint="eastAsia" w:ascii="Times New Roman" w:hAnsi="Times New Roman" w:eastAsia="宋体" w:cs="Times New Roman"/>
          <w:sz w:val="24"/>
          <w:szCs w:val="24"/>
          <w:shd w:val="clear" w:color="auto" w:fill="FFFFFF"/>
        </w:rPr>
        <w:t>f</w:t>
      </w:r>
      <w:r>
        <w:rPr>
          <w:rStyle w:val="11"/>
          <w:rFonts w:hint="eastAsia" w:ascii="Times New Roman" w:hAnsi="Times New Roman" w:cs="Times New Roman"/>
          <w:sz w:val="24"/>
          <w:szCs w:val="24"/>
          <w:shd w:val="clear" w:color="auto" w:fill="FFFFFF"/>
          <w:lang w:val="en-US" w:eastAsia="zh-CN"/>
        </w:rPr>
        <w:t>j</w:t>
      </w:r>
      <w:r>
        <w:rPr>
          <w:rStyle w:val="11"/>
          <w:rFonts w:hint="eastAsia" w:ascii="Times New Roman" w:hAnsi="Times New Roman" w:eastAsia="宋体" w:cs="Times New Roman"/>
          <w:sz w:val="24"/>
          <w:szCs w:val="24"/>
          <w:shd w:val="clear" w:color="auto" w:fill="FFFFFF"/>
        </w:rPr>
        <w:t>c</w:t>
      </w:r>
      <w:r>
        <w:rPr>
          <w:rStyle w:val="11"/>
          <w:rFonts w:hint="eastAsia" w:ascii="Times New Roman" w:hAnsi="Times New Roman" w:cs="Times New Roman"/>
          <w:sz w:val="24"/>
          <w:szCs w:val="24"/>
          <w:shd w:val="clear" w:color="auto" w:fill="FFFFFF"/>
          <w:lang w:val="en-US" w:eastAsia="zh-CN"/>
        </w:rPr>
        <w:t>qj</w:t>
      </w:r>
      <w:r>
        <w:rPr>
          <w:rStyle w:val="11"/>
          <w:rFonts w:hint="eastAsia" w:ascii="Times New Roman" w:hAnsi="Times New Roman" w:eastAsia="宋体" w:cs="Times New Roman"/>
          <w:sz w:val="24"/>
          <w:szCs w:val="24"/>
          <w:shd w:val="clear" w:color="auto" w:fill="FFFFFF"/>
        </w:rPr>
        <w:t>y</w:t>
      </w:r>
      <w:r>
        <w:rPr>
          <w:rStyle w:val="11"/>
          <w:rFonts w:hint="eastAsia" w:ascii="Times New Roman" w:hAnsi="Times New Roman" w:cs="Times New Roman"/>
          <w:sz w:val="24"/>
          <w:szCs w:val="24"/>
          <w:shd w:val="clear" w:color="auto" w:fill="FFFFFF"/>
          <w:lang w:val="en-US" w:eastAsia="zh-CN"/>
        </w:rPr>
        <w:t>.</w:t>
      </w:r>
      <w:r>
        <w:rPr>
          <w:rStyle w:val="11"/>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1"/>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16.</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技术联系人：王一勇13950903055</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商务联系人：陈初发0598-5658513</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lang w:eastAsia="zh-CN"/>
        </w:rPr>
        <w:t>投标保证金函</w:t>
      </w:r>
      <w:r>
        <w:rPr>
          <w:rFonts w:hint="eastAsia" w:ascii="Times New Roman" w:hAnsi="Times New Roman" w:eastAsia="宋体"/>
          <w:color w:val="auto"/>
          <w:sz w:val="24"/>
          <w:szCs w:val="24"/>
        </w:rPr>
        <w:t>（格式）</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法定代表人授权书（格式）</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1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1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10" w:lineRule="exact"/>
        <w:ind w:firstLine="0" w:firstLineChars="0"/>
        <w:jc w:val="right"/>
        <w:textAlignment w:val="auto"/>
        <w:rPr>
          <w:rFonts w:hint="eastAsia" w:ascii="Times New Roman" w:hAnsi="Times New Roman" w:eastAsia="宋体" w:cs="Times New Roman"/>
          <w:bCs/>
          <w:color w:val="auto"/>
          <w:sz w:val="24"/>
          <w:szCs w:val="24"/>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8</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br w:type="page"/>
      </w:r>
    </w:p>
    <w:p>
      <w:pPr>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imes New Roman" w:hAnsi="Times New Roman" w:eastAsia="宋体" w:cs="宋体"/>
          <w:sz w:val="24"/>
          <w:szCs w:val="24"/>
          <w:lang w:val="en-US" w:eastAsia="zh-CN"/>
        </w:rPr>
      </w:pPr>
      <w:r>
        <w:rPr>
          <w:rFonts w:hint="eastAsia" w:ascii="Times New Roman" w:hAnsi="Times New Roman" w:eastAsia="宋体" w:cs="宋体"/>
          <w:sz w:val="24"/>
          <w:szCs w:val="24"/>
          <w:lang w:eastAsia="zh-CN"/>
        </w:rPr>
        <w:t>附件</w:t>
      </w:r>
      <w:r>
        <w:rPr>
          <w:rFonts w:hint="eastAsia" w:ascii="Times New Roman" w:hAnsi="Times New Roman" w:eastAsia="宋体" w:cs="宋体"/>
          <w:sz w:val="24"/>
          <w:szCs w:val="24"/>
          <w:lang w:val="en-US" w:eastAsia="zh-CN"/>
        </w:rPr>
        <w:t>1：投标保证金函（格式）</w:t>
      </w:r>
    </w:p>
    <w:p>
      <w:pPr>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imes New Roman" w:hAnsi="Times New Roman"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240" w:lineRule="auto"/>
        <w:jc w:val="center"/>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b/>
          <w:bCs/>
          <w:spacing w:val="20"/>
          <w:sz w:val="30"/>
          <w:szCs w:val="30"/>
          <w:lang w:eastAsia="zh-CN"/>
        </w:rPr>
        <w:t>投标保证金函</w:t>
      </w:r>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福建省青山纸业股份有限公司：</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我司参与投标</w:t>
      </w:r>
      <w:r>
        <w:rPr>
          <w:rFonts w:hint="eastAsia" w:ascii="Times New Roman" w:hAnsi="Times New Roman" w:eastAsia="宋体" w:cs="宋体"/>
          <w:sz w:val="28"/>
          <w:szCs w:val="28"/>
          <w:u w:val="single"/>
          <w:lang w:eastAsia="zh-CN"/>
        </w:rPr>
        <w:t>　　　　　　　　　　　　　　</w:t>
      </w:r>
      <w:r>
        <w:rPr>
          <w:rFonts w:hint="eastAsia" w:ascii="Times New Roman" w:hAnsi="Times New Roman" w:eastAsia="宋体" w:cs="宋体"/>
          <w:sz w:val="28"/>
          <w:szCs w:val="28"/>
          <w:lang w:eastAsia="zh-CN"/>
        </w:rPr>
        <w:t>项目（招标编号：</w:t>
      </w:r>
      <w:r>
        <w:rPr>
          <w:rFonts w:hint="eastAsia" w:ascii="Times New Roman" w:hAnsi="Times New Roman" w:eastAsia="宋体" w:cs="宋体"/>
          <w:sz w:val="28"/>
          <w:szCs w:val="28"/>
          <w:u w:val="single"/>
          <w:lang w:eastAsia="zh-CN"/>
        </w:rPr>
        <w:t>　　　　　</w:t>
      </w:r>
      <w:r>
        <w:rPr>
          <w:rFonts w:hint="eastAsia" w:ascii="Times New Roman" w:hAnsi="Times New Roman" w:eastAsia="宋体" w:cs="宋体"/>
          <w:sz w:val="28"/>
          <w:szCs w:val="28"/>
          <w:lang w:eastAsia="zh-CN"/>
        </w:rPr>
        <w:t>），在贵司尚有已结未付款项且数额足够抵扣投标保证金，现要求本次招标项目的投标保证金从已结未付款项中转扣，具体如下：</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1、投标保证金金额：</w:t>
      </w:r>
      <w:r>
        <w:rPr>
          <w:rFonts w:hint="eastAsia" w:ascii="Times New Roman" w:hAnsi="Times New Roman" w:eastAsia="宋体" w:cs="宋体"/>
          <w:sz w:val="28"/>
          <w:szCs w:val="28"/>
          <w:u w:val="single"/>
          <w:lang w:eastAsia="zh-CN"/>
        </w:rPr>
        <w:t>　　　　　</w:t>
      </w:r>
      <w:r>
        <w:rPr>
          <w:rFonts w:hint="eastAsia" w:ascii="Times New Roman" w:hAnsi="Times New Roman" w:eastAsia="宋体" w:cs="宋体"/>
          <w:sz w:val="28"/>
          <w:szCs w:val="28"/>
          <w:lang w:eastAsia="zh-CN"/>
        </w:rPr>
        <w:t>元。</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2、转抵款项形式：□已结未付货款</w:t>
      </w:r>
      <w:r>
        <w:rPr>
          <w:rFonts w:hint="eastAsia" w:ascii="Times New Roman" w:hAnsi="Times New Roman" w:eastAsia="宋体" w:cs="宋体"/>
          <w:sz w:val="28"/>
          <w:szCs w:val="28"/>
          <w:lang w:val="en-US" w:eastAsia="zh-CN"/>
        </w:rPr>
        <w:t xml:space="preserve">     </w:t>
      </w:r>
      <w:r>
        <w:rPr>
          <w:rFonts w:hint="eastAsia" w:ascii="Times New Roman" w:hAnsi="Times New Roman" w:eastAsia="宋体" w:cs="宋体"/>
          <w:sz w:val="28"/>
          <w:szCs w:val="28"/>
          <w:lang w:eastAsia="zh-CN"/>
        </w:rPr>
        <w:t>□到期未退保证金。</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3、我司若中标，同意将投标保证金转为履约保证金。</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val="en-US" w:eastAsia="zh-CN"/>
        </w:rPr>
      </w:pPr>
      <w:r>
        <w:rPr>
          <w:rFonts w:hint="eastAsia" w:ascii="Times New Roman" w:hAnsi="Times New Roman" w:eastAsia="宋体" w:cs="宋体"/>
          <w:sz w:val="28"/>
          <w:szCs w:val="28"/>
          <w:lang w:val="en-US" w:eastAsia="zh-CN"/>
        </w:rPr>
        <w:t>4、我司若出现法律法规和招标文件规定的关于不予退还投标保证金的情形，同意招标人按相关规定执行，我司对此无任何异议。</w:t>
      </w:r>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eastAsia" w:ascii="Times New Roman" w:hAnsi="Times New Roman" w:eastAsia="宋体" w:cs="宋体"/>
          <w:sz w:val="28"/>
          <w:szCs w:val="28"/>
          <w:lang w:eastAsia="zh-CN"/>
        </w:rPr>
      </w:pPr>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eastAsia" w:ascii="Times New Roman" w:hAnsi="Times New Roman" w:eastAsia="宋体" w:cs="宋体"/>
          <w:sz w:val="28"/>
          <w:szCs w:val="28"/>
          <w:lang w:eastAsia="zh-CN"/>
        </w:rPr>
      </w:pPr>
    </w:p>
    <w:p>
      <w:pPr>
        <w:keepNext w:val="0"/>
        <w:keepLines w:val="0"/>
        <w:pageBreakBefore w:val="0"/>
        <w:widowControl w:val="0"/>
        <w:kinsoku/>
        <w:wordWrap/>
        <w:overflowPunct/>
        <w:topLinePunct w:val="0"/>
        <w:autoSpaceDE/>
        <w:autoSpaceDN/>
        <w:bidi w:val="0"/>
        <w:adjustRightInd/>
        <w:snapToGrid/>
        <w:spacing w:line="240" w:lineRule="auto"/>
        <w:ind w:firstLine="2800" w:firstLineChars="10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投标人名称（盖公章）：</w:t>
      </w:r>
    </w:p>
    <w:p>
      <w:pPr>
        <w:keepNext w:val="0"/>
        <w:keepLines w:val="0"/>
        <w:pageBreakBefore w:val="0"/>
        <w:widowControl w:val="0"/>
        <w:kinsoku/>
        <w:wordWrap/>
        <w:overflowPunct/>
        <w:topLinePunct w:val="0"/>
        <w:autoSpaceDE/>
        <w:autoSpaceDN/>
        <w:bidi w:val="0"/>
        <w:adjustRightInd/>
        <w:snapToGrid/>
        <w:ind w:firstLine="2800" w:firstLineChars="10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日　　　期：　　　年　　月　　日</w:t>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2</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jc w:val="left"/>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3SB167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27519E7"/>
    <w:rsid w:val="052B4F28"/>
    <w:rsid w:val="05695BD0"/>
    <w:rsid w:val="05871BB5"/>
    <w:rsid w:val="06DE03E2"/>
    <w:rsid w:val="08E72CEF"/>
    <w:rsid w:val="09997EE7"/>
    <w:rsid w:val="09F86387"/>
    <w:rsid w:val="0A037160"/>
    <w:rsid w:val="0AF65C4C"/>
    <w:rsid w:val="0BD679A8"/>
    <w:rsid w:val="0C992A98"/>
    <w:rsid w:val="0D015163"/>
    <w:rsid w:val="0D2A74AE"/>
    <w:rsid w:val="0D592C37"/>
    <w:rsid w:val="0D5F3512"/>
    <w:rsid w:val="0E3C49E1"/>
    <w:rsid w:val="0E8B2E75"/>
    <w:rsid w:val="0F873F05"/>
    <w:rsid w:val="10060E66"/>
    <w:rsid w:val="12BF4032"/>
    <w:rsid w:val="12DC1146"/>
    <w:rsid w:val="140758AC"/>
    <w:rsid w:val="14C052B0"/>
    <w:rsid w:val="16880B6E"/>
    <w:rsid w:val="16A33A8B"/>
    <w:rsid w:val="17E62151"/>
    <w:rsid w:val="19CF43E9"/>
    <w:rsid w:val="19D304ED"/>
    <w:rsid w:val="1A263DD0"/>
    <w:rsid w:val="1A413D1B"/>
    <w:rsid w:val="1C261925"/>
    <w:rsid w:val="1C857027"/>
    <w:rsid w:val="1D1A1A49"/>
    <w:rsid w:val="1F570C40"/>
    <w:rsid w:val="1FDC0B0B"/>
    <w:rsid w:val="1FF477CC"/>
    <w:rsid w:val="20287CB8"/>
    <w:rsid w:val="208E1D71"/>
    <w:rsid w:val="20E5006D"/>
    <w:rsid w:val="21F72B38"/>
    <w:rsid w:val="22A1546C"/>
    <w:rsid w:val="22F02809"/>
    <w:rsid w:val="24C550DC"/>
    <w:rsid w:val="24CA313E"/>
    <w:rsid w:val="26A9561F"/>
    <w:rsid w:val="2AC01F30"/>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8D24906"/>
    <w:rsid w:val="394D2CDE"/>
    <w:rsid w:val="39E9615C"/>
    <w:rsid w:val="3BC53092"/>
    <w:rsid w:val="3C5513A3"/>
    <w:rsid w:val="3C584342"/>
    <w:rsid w:val="3C7C5725"/>
    <w:rsid w:val="3D9A2B8C"/>
    <w:rsid w:val="3E4F62F6"/>
    <w:rsid w:val="3E832FBD"/>
    <w:rsid w:val="3EF50209"/>
    <w:rsid w:val="3F455623"/>
    <w:rsid w:val="3F550899"/>
    <w:rsid w:val="3F731E14"/>
    <w:rsid w:val="3F7334C5"/>
    <w:rsid w:val="40AA422C"/>
    <w:rsid w:val="44082718"/>
    <w:rsid w:val="47BB01F2"/>
    <w:rsid w:val="47C60904"/>
    <w:rsid w:val="4810454C"/>
    <w:rsid w:val="48571F9B"/>
    <w:rsid w:val="485A1FE6"/>
    <w:rsid w:val="494848CE"/>
    <w:rsid w:val="4ACF470A"/>
    <w:rsid w:val="50635474"/>
    <w:rsid w:val="510D00AA"/>
    <w:rsid w:val="53B91808"/>
    <w:rsid w:val="54585E17"/>
    <w:rsid w:val="55867334"/>
    <w:rsid w:val="55912732"/>
    <w:rsid w:val="574E15B7"/>
    <w:rsid w:val="598757BF"/>
    <w:rsid w:val="5A105A15"/>
    <w:rsid w:val="5D23354B"/>
    <w:rsid w:val="5D785372"/>
    <w:rsid w:val="5D94260B"/>
    <w:rsid w:val="5DAE499A"/>
    <w:rsid w:val="5F194A83"/>
    <w:rsid w:val="5F6F0FB4"/>
    <w:rsid w:val="610928EA"/>
    <w:rsid w:val="62A84C8F"/>
    <w:rsid w:val="63A30CC0"/>
    <w:rsid w:val="64DB1FB5"/>
    <w:rsid w:val="655834F7"/>
    <w:rsid w:val="661C08AC"/>
    <w:rsid w:val="67157C63"/>
    <w:rsid w:val="674E2FFC"/>
    <w:rsid w:val="67695FF5"/>
    <w:rsid w:val="68E3273E"/>
    <w:rsid w:val="69CB5362"/>
    <w:rsid w:val="6AF32396"/>
    <w:rsid w:val="6AF86597"/>
    <w:rsid w:val="6B0726BC"/>
    <w:rsid w:val="6B773290"/>
    <w:rsid w:val="6D0F5985"/>
    <w:rsid w:val="6DEC5843"/>
    <w:rsid w:val="701A7798"/>
    <w:rsid w:val="71E749FC"/>
    <w:rsid w:val="71F55825"/>
    <w:rsid w:val="71FA0AA6"/>
    <w:rsid w:val="73C26E33"/>
    <w:rsid w:val="74D1558C"/>
    <w:rsid w:val="759C6C29"/>
    <w:rsid w:val="76EF5943"/>
    <w:rsid w:val="773131F3"/>
    <w:rsid w:val="779E373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0"/>
    <w:pPr>
      <w:adjustRightInd w:val="0"/>
      <w:snapToGrid w:val="0"/>
      <w:spacing w:after="48" w:afterLines="20" w:line="260" w:lineRule="atLeast"/>
      <w:ind w:firstLine="360" w:firstLineChars="171"/>
      <w:outlineLvl w:val="1"/>
    </w:pPr>
    <w:rPr>
      <w:rFonts w:ascii="宋体" w:hAnsi="宋体" w:eastAsia="宋体" w:cs="Times New Roman"/>
      <w:b/>
      <w:bCs/>
      <w:kern w:val="0"/>
      <w:szCs w:val="21"/>
    </w:rPr>
  </w:style>
  <w:style w:type="character" w:default="1" w:styleId="8">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Plain Text"/>
    <w:basedOn w:val="1"/>
    <w:qFormat/>
    <w:uiPriority w:val="0"/>
    <w:pPr>
      <w:adjustRightInd w:val="0"/>
      <w:spacing w:line="360" w:lineRule="atLeast"/>
      <w:textAlignment w:val="baseline"/>
    </w:pPr>
    <w:rPr>
      <w:rFonts w:ascii="宋体" w:hAnsi="Courier New"/>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9">
    <w:name w:val="Strong"/>
    <w:basedOn w:val="8"/>
    <w:qFormat/>
    <w:uiPriority w:val="0"/>
    <w:rPr>
      <w:b/>
      <w:bCs/>
    </w:rPr>
  </w:style>
  <w:style w:type="character" w:styleId="10">
    <w:name w:val="page number"/>
    <w:basedOn w:val="8"/>
    <w:qFormat/>
    <w:uiPriority w:val="0"/>
  </w:style>
  <w:style w:type="character" w:styleId="11">
    <w:name w:val="Hyperlink"/>
    <w:basedOn w:val="8"/>
    <w:unhideWhenUsed/>
    <w:qFormat/>
    <w:uiPriority w:val="99"/>
    <w:rPr>
      <w:color w:val="0000FF"/>
      <w:u w:val="single"/>
    </w:rPr>
  </w:style>
  <w:style w:type="table" w:styleId="13">
    <w:name w:val="Table Grid"/>
    <w:basedOn w:val="12"/>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4">
    <w:name w:val="List Paragraph"/>
    <w:basedOn w:val="1"/>
    <w:qFormat/>
    <w:uiPriority w:val="34"/>
    <w:pPr>
      <w:ind w:firstLine="420" w:firstLineChars="200"/>
    </w:pPr>
  </w:style>
  <w:style w:type="paragraph" w:customStyle="1" w:styleId="15">
    <w:name w:val="Table Paragraph"/>
    <w:basedOn w:val="1"/>
    <w:unhideWhenUsed/>
    <w:qFormat/>
    <w:uiPriority w:val="1"/>
    <w:pPr>
      <w:spacing w:before="48" w:beforeLines="0" w:afterLines="0"/>
      <w:ind w:left="61"/>
    </w:pPr>
    <w:rPr>
      <w:rFonts w:hint="eastAsia"/>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2023-08-01T07:59:32Z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