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4" w:lineRule="exact"/>
        <w:ind w:firstLine="482" w:firstLineChars="200"/>
        <w:rPr>
          <w:rFonts w:hint="eastAsia" w:ascii="Times New Roman" w:hAnsi="Times New Roman" w:eastAsia="宋体" w:cs="宋体"/>
          <w:sz w:val="24"/>
          <w:szCs w:val="24"/>
          <w:lang w:eastAsia="zh-CN"/>
        </w:rPr>
      </w:pPr>
      <w:r>
        <w:rPr>
          <w:rFonts w:hint="eastAsia" w:ascii="Times New Roman" w:hAnsi="Times New Roman" w:eastAsia="宋体" w:cs="宋体"/>
          <w:b/>
          <w:sz w:val="24"/>
          <w:szCs w:val="24"/>
        </w:rPr>
        <w:t>1.</w:t>
      </w:r>
      <w:r>
        <w:rPr>
          <w:rFonts w:hint="eastAsia" w:ascii="Times New Roman" w:hAnsi="Times New Roman" w:eastAsia="宋体" w:cs="宋体"/>
          <w:b/>
          <w:sz w:val="24"/>
          <w:szCs w:val="24"/>
        </w:rPr>
        <w:t>项目名称</w:t>
      </w:r>
      <w:r>
        <w:rPr>
          <w:rFonts w:hint="eastAsia" w:ascii="Times New Roman" w:hAnsi="Times New Roman" w:eastAsia="宋体" w:cs="宋体"/>
          <w:sz w:val="24"/>
          <w:szCs w:val="24"/>
        </w:rPr>
        <w:t>：</w:t>
      </w:r>
      <w:r>
        <w:rPr>
          <w:rFonts w:hint="eastAsia" w:ascii="Times New Roman" w:hAnsi="Times New Roman" w:eastAsia="宋体" w:cs="宋体"/>
          <w:sz w:val="24"/>
          <w:szCs w:val="24"/>
          <w:lang w:eastAsia="zh-CN"/>
        </w:rPr>
        <w:t>无烟煤采购</w:t>
      </w:r>
    </w:p>
    <w:p>
      <w:pPr>
        <w:spacing w:line="444" w:lineRule="exact"/>
        <w:ind w:firstLine="482" w:firstLineChars="200"/>
        <w:rPr>
          <w:rFonts w:hint="eastAsia" w:ascii="Times New Roman" w:hAnsi="Times New Roman" w:eastAsia="宋体" w:cs="宋体"/>
          <w:sz w:val="24"/>
          <w:szCs w:val="24"/>
          <w:lang w:eastAsia="zh-CN"/>
        </w:rPr>
      </w:pPr>
      <w:r>
        <w:rPr>
          <w:rFonts w:hint="eastAsia" w:ascii="Times New Roman" w:hAnsi="Times New Roman" w:eastAsia="宋体" w:cs="宋体"/>
          <w:b/>
          <w:sz w:val="24"/>
          <w:szCs w:val="24"/>
        </w:rPr>
        <w:t>2.</w:t>
      </w:r>
      <w:r>
        <w:rPr>
          <w:rFonts w:hint="eastAsia" w:ascii="Times New Roman" w:hAnsi="Times New Roman" w:eastAsia="宋体" w:cs="宋体"/>
          <w:b/>
          <w:sz w:val="24"/>
          <w:szCs w:val="24"/>
          <w:lang w:eastAsia="zh-CN"/>
        </w:rPr>
        <w:t>招标内容</w:t>
      </w:r>
    </w:p>
    <w:tbl>
      <w:tblPr>
        <w:tblStyle w:val="12"/>
        <w:tblW w:w="9072" w:type="dxa"/>
        <w:jc w:val="center"/>
        <w:tblInd w:w="108" w:type="dxa"/>
        <w:tblLayout w:type="fixed"/>
        <w:tblCellMar>
          <w:top w:w="0" w:type="dxa"/>
          <w:left w:w="108" w:type="dxa"/>
          <w:bottom w:w="0" w:type="dxa"/>
          <w:right w:w="108" w:type="dxa"/>
        </w:tblCellMar>
      </w:tblPr>
      <w:tblGrid>
        <w:gridCol w:w="1134"/>
        <w:gridCol w:w="2127"/>
        <w:gridCol w:w="4394"/>
        <w:gridCol w:w="1417"/>
      </w:tblGrid>
      <w:tr>
        <w:tblPrEx>
          <w:tblLayout w:type="fixed"/>
          <w:tblCellMar>
            <w:top w:w="0" w:type="dxa"/>
            <w:left w:w="108" w:type="dxa"/>
            <w:bottom w:w="0" w:type="dxa"/>
            <w:right w:w="108" w:type="dxa"/>
          </w:tblCellMar>
        </w:tblPrEx>
        <w:trPr>
          <w:trHeight w:val="397" w:hRule="atLeast"/>
          <w:jc w:val="center"/>
        </w:trPr>
        <w:tc>
          <w:tcPr>
            <w:tcW w:w="1134" w:type="dxa"/>
            <w:tcBorders>
              <w:top w:val="single" w:color="auto" w:sz="8" w:space="0"/>
              <w:left w:val="single" w:color="auto" w:sz="8" w:space="0"/>
              <w:bottom w:val="single" w:color="auto" w:sz="8" w:space="0"/>
              <w:right w:val="single" w:color="auto" w:sz="8" w:space="0"/>
            </w:tcBorders>
            <w:vAlign w:val="center"/>
          </w:tcPr>
          <w:p>
            <w:pPr>
              <w:widowControl/>
              <w:spacing w:line="240" w:lineRule="auto"/>
              <w:jc w:val="center"/>
              <w:rPr>
                <w:rFonts w:hint="eastAsia" w:ascii="Times New Roman" w:hAnsi="Times New Roman" w:eastAsia="宋体" w:cs="宋体"/>
                <w:b w:val="0"/>
                <w:bCs w:val="0"/>
                <w:kern w:val="0"/>
                <w:sz w:val="21"/>
                <w:szCs w:val="21"/>
              </w:rPr>
            </w:pPr>
            <w:r>
              <w:rPr>
                <w:rFonts w:hint="eastAsia" w:ascii="Times New Roman" w:hAnsi="Times New Roman" w:eastAsia="宋体" w:cs="宋体"/>
                <w:b w:val="0"/>
                <w:bCs w:val="0"/>
                <w:kern w:val="0"/>
                <w:sz w:val="21"/>
                <w:szCs w:val="21"/>
              </w:rPr>
              <w:t>名称</w:t>
            </w:r>
          </w:p>
        </w:tc>
        <w:tc>
          <w:tcPr>
            <w:tcW w:w="2127" w:type="dxa"/>
            <w:tcBorders>
              <w:top w:val="single" w:color="auto" w:sz="8" w:space="0"/>
              <w:left w:val="nil"/>
              <w:bottom w:val="single" w:color="auto" w:sz="8" w:space="0"/>
              <w:right w:val="single" w:color="auto" w:sz="8" w:space="0"/>
            </w:tcBorders>
            <w:vAlign w:val="center"/>
          </w:tcPr>
          <w:p>
            <w:pPr>
              <w:widowControl/>
              <w:spacing w:line="240" w:lineRule="auto"/>
              <w:jc w:val="center"/>
              <w:rPr>
                <w:rFonts w:hint="eastAsia" w:ascii="Times New Roman" w:hAnsi="Times New Roman" w:eastAsia="宋体" w:cs="宋体"/>
                <w:b w:val="0"/>
                <w:bCs w:val="0"/>
                <w:kern w:val="0"/>
                <w:sz w:val="21"/>
                <w:szCs w:val="21"/>
              </w:rPr>
            </w:pPr>
            <w:r>
              <w:rPr>
                <w:rFonts w:hint="eastAsia" w:ascii="Times New Roman" w:hAnsi="Times New Roman" w:eastAsia="宋体" w:cs="宋体"/>
                <w:b w:val="0"/>
                <w:bCs w:val="0"/>
                <w:kern w:val="0"/>
                <w:sz w:val="21"/>
                <w:szCs w:val="21"/>
              </w:rPr>
              <w:t>国家标准</w:t>
            </w:r>
          </w:p>
        </w:tc>
        <w:tc>
          <w:tcPr>
            <w:tcW w:w="4394" w:type="dxa"/>
            <w:tcBorders>
              <w:top w:val="single" w:color="auto" w:sz="8" w:space="0"/>
              <w:left w:val="nil"/>
              <w:bottom w:val="single" w:color="auto" w:sz="8" w:space="0"/>
              <w:right w:val="single" w:color="auto" w:sz="8" w:space="0"/>
            </w:tcBorders>
            <w:vAlign w:val="center"/>
          </w:tcPr>
          <w:p>
            <w:pPr>
              <w:widowControl/>
              <w:spacing w:line="240" w:lineRule="auto"/>
              <w:jc w:val="center"/>
              <w:rPr>
                <w:rFonts w:hint="eastAsia" w:ascii="Times New Roman" w:hAnsi="Times New Roman" w:eastAsia="宋体" w:cs="宋体"/>
                <w:b w:val="0"/>
                <w:bCs w:val="0"/>
                <w:kern w:val="0"/>
                <w:sz w:val="21"/>
                <w:szCs w:val="21"/>
              </w:rPr>
            </w:pPr>
            <w:r>
              <w:rPr>
                <w:rFonts w:hint="eastAsia" w:ascii="Times New Roman" w:hAnsi="Times New Roman" w:eastAsia="宋体" w:cs="宋体"/>
                <w:b w:val="0"/>
                <w:bCs w:val="0"/>
                <w:kern w:val="0"/>
                <w:sz w:val="21"/>
                <w:szCs w:val="21"/>
              </w:rPr>
              <w:t>质量要求</w:t>
            </w:r>
          </w:p>
        </w:tc>
        <w:tc>
          <w:tcPr>
            <w:tcW w:w="1417" w:type="dxa"/>
            <w:tcBorders>
              <w:top w:val="single" w:color="auto" w:sz="8" w:space="0"/>
              <w:left w:val="nil"/>
              <w:bottom w:val="single" w:color="auto" w:sz="8" w:space="0"/>
              <w:right w:val="single" w:color="auto" w:sz="8" w:space="0"/>
            </w:tcBorders>
            <w:vAlign w:val="center"/>
          </w:tcPr>
          <w:p>
            <w:pPr>
              <w:widowControl/>
              <w:spacing w:line="240" w:lineRule="auto"/>
              <w:jc w:val="center"/>
              <w:rPr>
                <w:rFonts w:hint="eastAsia" w:ascii="Times New Roman" w:hAnsi="Times New Roman" w:eastAsia="宋体" w:cs="宋体"/>
                <w:b w:val="0"/>
                <w:bCs w:val="0"/>
                <w:kern w:val="0"/>
                <w:sz w:val="21"/>
                <w:szCs w:val="21"/>
              </w:rPr>
            </w:pPr>
            <w:r>
              <w:rPr>
                <w:rFonts w:hint="eastAsia" w:ascii="Times New Roman" w:hAnsi="Times New Roman" w:eastAsia="宋体" w:cs="宋体"/>
                <w:b w:val="0"/>
                <w:bCs w:val="0"/>
                <w:kern w:val="0"/>
                <w:sz w:val="21"/>
                <w:szCs w:val="21"/>
              </w:rPr>
              <w:t>数量</w:t>
            </w:r>
          </w:p>
        </w:tc>
      </w:tr>
      <w:tr>
        <w:tblPrEx>
          <w:tblLayout w:type="fixed"/>
          <w:tblCellMar>
            <w:top w:w="0" w:type="dxa"/>
            <w:left w:w="108" w:type="dxa"/>
            <w:bottom w:w="0" w:type="dxa"/>
            <w:right w:w="108" w:type="dxa"/>
          </w:tblCellMar>
        </w:tblPrEx>
        <w:trPr>
          <w:trHeight w:val="624" w:hRule="atLeast"/>
          <w:jc w:val="center"/>
        </w:trPr>
        <w:tc>
          <w:tcPr>
            <w:tcW w:w="1134" w:type="dxa"/>
            <w:tcBorders>
              <w:top w:val="nil"/>
              <w:left w:val="single" w:color="auto" w:sz="8" w:space="0"/>
              <w:bottom w:val="single" w:color="auto" w:sz="4" w:space="0"/>
              <w:right w:val="single" w:color="auto" w:sz="8" w:space="0"/>
            </w:tcBorders>
            <w:vAlign w:val="center"/>
          </w:tcPr>
          <w:p>
            <w:pPr>
              <w:widowControl/>
              <w:spacing w:line="240" w:lineRule="auto"/>
              <w:jc w:val="center"/>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无烟煤</w:t>
            </w:r>
          </w:p>
        </w:tc>
        <w:tc>
          <w:tcPr>
            <w:tcW w:w="2127" w:type="dxa"/>
            <w:tcBorders>
              <w:top w:val="nil"/>
              <w:left w:val="nil"/>
              <w:bottom w:val="single" w:color="auto" w:sz="4" w:space="0"/>
              <w:right w:val="single" w:color="auto" w:sz="4" w:space="0"/>
            </w:tcBorders>
            <w:vAlign w:val="center"/>
          </w:tcPr>
          <w:p>
            <w:pPr>
              <w:widowControl/>
              <w:spacing w:line="240" w:lineRule="auto"/>
              <w:jc w:val="center"/>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GB/T5751-2009《中国煤炭分类》</w:t>
            </w:r>
          </w:p>
        </w:tc>
        <w:tc>
          <w:tcPr>
            <w:tcW w:w="4394" w:type="dxa"/>
            <w:tcBorders>
              <w:top w:val="nil"/>
              <w:left w:val="nil"/>
              <w:bottom w:val="single" w:color="auto" w:sz="4" w:space="0"/>
              <w:right w:val="single" w:color="auto" w:sz="4" w:space="0"/>
            </w:tcBorders>
            <w:vAlign w:val="center"/>
          </w:tcPr>
          <w:p>
            <w:pPr>
              <w:widowControl/>
              <w:spacing w:line="240" w:lineRule="auto"/>
              <w:jc w:val="left"/>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1.收到基低位发热量：5000卡/克；</w:t>
            </w:r>
          </w:p>
          <w:p>
            <w:pPr>
              <w:widowControl/>
              <w:spacing w:line="240" w:lineRule="auto"/>
              <w:jc w:val="left"/>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2.收到基挥发份：≥3.0%；</w:t>
            </w:r>
          </w:p>
          <w:p>
            <w:pPr>
              <w:widowControl/>
              <w:spacing w:line="240" w:lineRule="auto"/>
              <w:jc w:val="left"/>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3.全硫：≤1.0%；</w:t>
            </w:r>
          </w:p>
          <w:p>
            <w:pPr>
              <w:widowControl/>
              <w:spacing w:line="240" w:lineRule="auto"/>
              <w:jc w:val="left"/>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4.全水份：≤8.00%。</w:t>
            </w:r>
          </w:p>
        </w:tc>
        <w:tc>
          <w:tcPr>
            <w:tcW w:w="1417" w:type="dxa"/>
            <w:tcBorders>
              <w:top w:val="nil"/>
              <w:left w:val="nil"/>
              <w:bottom w:val="single" w:color="auto" w:sz="4" w:space="0"/>
              <w:right w:val="single" w:color="auto" w:sz="8" w:space="0"/>
            </w:tcBorders>
            <w:vAlign w:val="center"/>
          </w:tcPr>
          <w:p>
            <w:pPr>
              <w:widowControl/>
              <w:spacing w:line="240" w:lineRule="auto"/>
              <w:jc w:val="center"/>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2500吨</w:t>
            </w:r>
          </w:p>
        </w:tc>
      </w:tr>
      <w:tr>
        <w:tblPrEx>
          <w:tblLayout w:type="fixed"/>
          <w:tblCellMar>
            <w:top w:w="0" w:type="dxa"/>
            <w:left w:w="108" w:type="dxa"/>
            <w:bottom w:w="0" w:type="dxa"/>
            <w:right w:w="108" w:type="dxa"/>
          </w:tblCellMar>
        </w:tblPrEx>
        <w:trPr>
          <w:trHeight w:val="532" w:hRule="atLeast"/>
          <w:jc w:val="center"/>
        </w:trPr>
        <w:tc>
          <w:tcPr>
            <w:tcW w:w="9072"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Times New Roman" w:hAnsi="Times New Roman" w:eastAsia="宋体" w:cs="宋体"/>
                <w:kern w:val="0"/>
                <w:sz w:val="21"/>
                <w:szCs w:val="21"/>
              </w:rPr>
            </w:pPr>
            <w:r>
              <w:rPr>
                <w:rFonts w:hint="eastAsia" w:ascii="Times New Roman" w:hAnsi="Times New Roman" w:eastAsia="宋体" w:cs="宋体"/>
                <w:kern w:val="0"/>
                <w:sz w:val="21"/>
                <w:szCs w:val="21"/>
              </w:rPr>
              <w:t>备注：实际采购数量视生产运行情况及招标实际情况调整安排。</w:t>
            </w:r>
          </w:p>
        </w:tc>
      </w:tr>
    </w:tbl>
    <w:p>
      <w:pPr>
        <w:spacing w:line="444" w:lineRule="exact"/>
        <w:ind w:firstLine="482" w:firstLineChars="200"/>
        <w:rPr>
          <w:rFonts w:hint="eastAsia" w:ascii="Times New Roman" w:hAnsi="Times New Roman" w:eastAsia="宋体" w:cs="宋体"/>
          <w:b/>
          <w:sz w:val="24"/>
          <w:szCs w:val="24"/>
        </w:rPr>
      </w:pPr>
      <w:r>
        <w:rPr>
          <w:rFonts w:hint="eastAsia" w:ascii="Times New Roman" w:hAnsi="Times New Roman" w:eastAsia="宋体" w:cs="宋体"/>
          <w:b/>
          <w:sz w:val="24"/>
          <w:szCs w:val="24"/>
        </w:rPr>
        <w:t>3.质量和数量验收方式</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.1质量以招标人煤质化验室的取样化验结果为准。遇有质量纠纷，不再进行三方取样：（1）</w:t>
      </w:r>
      <w:r>
        <w:rPr>
          <w:rFonts w:hint="eastAsia" w:ascii="Times New Roman" w:hAnsi="Times New Roman" w:eastAsia="宋体" w:cs="宋体"/>
          <w:sz w:val="24"/>
          <w:szCs w:val="24"/>
          <w:lang w:eastAsia="zh-CN"/>
        </w:rPr>
        <w:t>中标人</w:t>
      </w:r>
      <w:r>
        <w:rPr>
          <w:rFonts w:hint="eastAsia" w:ascii="Times New Roman" w:hAnsi="Times New Roman" w:eastAsia="宋体" w:cs="宋体"/>
          <w:sz w:val="24"/>
          <w:szCs w:val="24"/>
        </w:rPr>
        <w:t>可提取</w:t>
      </w:r>
      <w:r>
        <w:rPr>
          <w:rFonts w:hint="eastAsia" w:ascii="Times New Roman" w:hAnsi="Times New Roman" w:eastAsia="宋体" w:cs="宋体"/>
          <w:sz w:val="24"/>
          <w:szCs w:val="24"/>
          <w:lang w:eastAsia="zh-CN"/>
        </w:rPr>
        <w:t>招标人</w:t>
      </w:r>
      <w:r>
        <w:rPr>
          <w:rFonts w:hint="eastAsia" w:ascii="Times New Roman" w:hAnsi="Times New Roman" w:eastAsia="宋体" w:cs="宋体"/>
          <w:sz w:val="24"/>
          <w:szCs w:val="24"/>
        </w:rPr>
        <w:t>备样。（2）双方可共同将备样提请化验权威机构进行检测。</w:t>
      </w:r>
    </w:p>
    <w:p>
      <w:pPr>
        <w:spacing w:line="444" w:lineRule="exact"/>
        <w:ind w:firstLine="480" w:firstLineChars="200"/>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3.2</w:t>
      </w:r>
      <w:r>
        <w:rPr>
          <w:rFonts w:hint="eastAsia" w:ascii="Times New Roman" w:hAnsi="Times New Roman" w:eastAsia="宋体" w:cs="宋体"/>
          <w:sz w:val="24"/>
          <w:szCs w:val="24"/>
          <w:lang w:eastAsia="zh-CN"/>
        </w:rPr>
        <w:t>数量以招标人轨道衡或地磅计量为准。</w:t>
      </w:r>
    </w:p>
    <w:p>
      <w:pPr>
        <w:spacing w:line="444" w:lineRule="exact"/>
        <w:ind w:firstLine="482" w:firstLineChars="200"/>
        <w:rPr>
          <w:rFonts w:hint="eastAsia" w:ascii="Times New Roman" w:hAnsi="Times New Roman" w:eastAsia="宋体" w:cs="宋体"/>
          <w:b/>
          <w:sz w:val="24"/>
          <w:szCs w:val="24"/>
          <w:lang w:val="en-US" w:eastAsia="zh-CN"/>
        </w:rPr>
      </w:pPr>
      <w:r>
        <w:rPr>
          <w:rFonts w:hint="eastAsia" w:ascii="Times New Roman" w:hAnsi="Times New Roman" w:eastAsia="宋体" w:cs="宋体"/>
          <w:b/>
          <w:sz w:val="24"/>
          <w:szCs w:val="24"/>
          <w:lang w:val="en-US" w:eastAsia="zh-CN"/>
        </w:rPr>
        <w:t>4.交货时间及地点</w:t>
      </w:r>
    </w:p>
    <w:p>
      <w:pPr>
        <w:spacing w:line="444" w:lineRule="exact"/>
        <w:ind w:firstLine="480" w:firstLineChars="200"/>
        <w:rPr>
          <w:rFonts w:hint="eastAsia" w:ascii="Times New Roman" w:hAnsi="Times New Roman" w:eastAsia="宋体" w:cs="宋体"/>
          <w:b w:val="0"/>
          <w:bCs/>
          <w:sz w:val="24"/>
          <w:szCs w:val="24"/>
          <w:lang w:val="en-US" w:eastAsia="zh-CN"/>
        </w:rPr>
      </w:pPr>
      <w:r>
        <w:rPr>
          <w:rFonts w:hint="eastAsia" w:ascii="Times New Roman" w:hAnsi="Times New Roman" w:eastAsia="宋体" w:cs="宋体"/>
          <w:b w:val="0"/>
          <w:bCs/>
          <w:sz w:val="24"/>
          <w:szCs w:val="24"/>
          <w:lang w:val="en-US" w:eastAsia="zh-CN"/>
        </w:rPr>
        <w:t>4.1交货时间：原则上2023年08月31日前（铁路运输的以运输货票日期为准）均衡发货，中标人须根据招标人安排发货。</w:t>
      </w:r>
    </w:p>
    <w:p>
      <w:pPr>
        <w:spacing w:line="444" w:lineRule="exact"/>
        <w:ind w:firstLine="480" w:firstLineChars="200"/>
        <w:rPr>
          <w:rFonts w:hint="eastAsia" w:ascii="Times New Roman" w:hAnsi="Times New Roman" w:eastAsia="宋体" w:cs="宋体"/>
          <w:b w:val="0"/>
          <w:bCs/>
          <w:sz w:val="24"/>
          <w:szCs w:val="24"/>
          <w:lang w:val="en-US" w:eastAsia="zh-CN"/>
        </w:rPr>
      </w:pPr>
      <w:r>
        <w:rPr>
          <w:rFonts w:hint="eastAsia" w:ascii="Times New Roman" w:hAnsi="Times New Roman" w:eastAsia="宋体" w:cs="宋体"/>
          <w:b w:val="0"/>
          <w:bCs/>
          <w:sz w:val="24"/>
          <w:szCs w:val="24"/>
          <w:lang w:val="en-US" w:eastAsia="zh-CN"/>
        </w:rPr>
        <w:t>4.2交货地点：铁路运输到站地点为南昌铁路局青州站；汽车运输交货地点为沙县青州镇青山纸业煤场。</w:t>
      </w:r>
    </w:p>
    <w:p>
      <w:pPr>
        <w:spacing w:line="444" w:lineRule="exact"/>
        <w:ind w:firstLine="482" w:firstLineChars="200"/>
        <w:rPr>
          <w:rFonts w:hint="eastAsia" w:ascii="Times New Roman" w:hAnsi="Times New Roman" w:eastAsia="宋体" w:cs="宋体"/>
          <w:b w:val="0"/>
          <w:bCs/>
          <w:sz w:val="24"/>
          <w:szCs w:val="24"/>
          <w:lang w:val="en-US" w:eastAsia="zh-CN"/>
        </w:rPr>
      </w:pPr>
      <w:r>
        <w:rPr>
          <w:rFonts w:hint="eastAsia" w:ascii="Times New Roman" w:hAnsi="Times New Roman" w:eastAsia="宋体" w:cs="宋体"/>
          <w:b/>
          <w:bCs w:val="0"/>
          <w:sz w:val="24"/>
          <w:szCs w:val="24"/>
          <w:lang w:val="en-US" w:eastAsia="zh-CN"/>
        </w:rPr>
        <w:t>5.投标人资格要求</w:t>
      </w:r>
      <w:r>
        <w:rPr>
          <w:rFonts w:hint="eastAsia" w:ascii="Times New Roman" w:hAnsi="Times New Roman" w:eastAsia="宋体" w:cs="宋体"/>
          <w:b w:val="0"/>
          <w:bCs/>
          <w:sz w:val="24"/>
          <w:szCs w:val="24"/>
          <w:lang w:val="en-US" w:eastAsia="zh-CN"/>
        </w:rPr>
        <w:t>：投标人应是具备独立法人资格，有能力提供招标货物及服务、信用良好的国内企业。</w:t>
      </w:r>
    </w:p>
    <w:p>
      <w:pPr>
        <w:spacing w:line="444" w:lineRule="exact"/>
        <w:ind w:firstLine="482" w:firstLineChars="200"/>
        <w:rPr>
          <w:rFonts w:hint="eastAsia" w:ascii="Times New Roman" w:hAnsi="Times New Roman" w:eastAsia="宋体" w:cs="宋体"/>
          <w:b/>
          <w:sz w:val="24"/>
          <w:szCs w:val="24"/>
          <w:lang w:val="en-US" w:eastAsia="zh-CN"/>
        </w:rPr>
      </w:pPr>
      <w:r>
        <w:rPr>
          <w:rFonts w:hint="eastAsia" w:ascii="Times New Roman" w:hAnsi="Times New Roman" w:eastAsia="宋体" w:cs="宋体"/>
          <w:b/>
          <w:sz w:val="24"/>
          <w:szCs w:val="24"/>
          <w:lang w:val="en-US" w:eastAsia="zh-CN"/>
        </w:rPr>
        <w:t>6.违约责任</w:t>
      </w:r>
    </w:p>
    <w:p>
      <w:pPr>
        <w:spacing w:line="444" w:lineRule="exact"/>
        <w:ind w:firstLine="480" w:firstLineChars="200"/>
        <w:rPr>
          <w:rFonts w:hint="eastAsia" w:ascii="Times New Roman" w:hAnsi="Times New Roman" w:eastAsia="宋体" w:cs="宋体"/>
          <w:b w:val="0"/>
          <w:bCs/>
          <w:sz w:val="24"/>
          <w:szCs w:val="24"/>
          <w:lang w:val="en-US" w:eastAsia="zh-CN"/>
        </w:rPr>
      </w:pPr>
      <w:r>
        <w:rPr>
          <w:rFonts w:hint="eastAsia" w:ascii="Times New Roman" w:hAnsi="Times New Roman" w:eastAsia="宋体" w:cs="宋体"/>
          <w:b w:val="0"/>
          <w:bCs/>
          <w:sz w:val="24"/>
          <w:szCs w:val="24"/>
          <w:lang w:val="en-US" w:eastAsia="zh-CN"/>
        </w:rPr>
        <w:t>6.1质量奖罚标准：</w:t>
      </w:r>
    </w:p>
    <w:p>
      <w:pPr>
        <w:keepNext w:val="0"/>
        <w:keepLines w:val="0"/>
        <w:pageBreakBefore w:val="0"/>
        <w:widowControl w:val="0"/>
        <w:kinsoku/>
        <w:wordWrap/>
        <w:overflowPunct/>
        <w:topLinePunct w:val="0"/>
        <w:autoSpaceDE/>
        <w:autoSpaceDN/>
        <w:bidi w:val="0"/>
        <w:adjustRightInd w:val="0"/>
        <w:snapToGrid/>
        <w:spacing w:after="63" w:afterLines="20" w:line="444" w:lineRule="exact"/>
        <w:ind w:firstLine="480" w:firstLineChars="200"/>
        <w:textAlignment w:val="baseline"/>
        <w:outlineLvl w:val="9"/>
        <w:rPr>
          <w:rFonts w:hint="eastAsia" w:ascii="Times New Roman" w:hAnsi="Times New Roman" w:eastAsia="宋体" w:cs="宋体"/>
          <w:b w:val="0"/>
          <w:bCs/>
          <w:sz w:val="24"/>
          <w:szCs w:val="24"/>
          <w:lang w:val="en-US" w:eastAsia="zh-CN"/>
        </w:rPr>
      </w:pPr>
      <w:r>
        <w:rPr>
          <w:rFonts w:hint="eastAsia" w:ascii="Times New Roman" w:hAnsi="Times New Roman" w:eastAsia="宋体" w:cs="宋体"/>
          <w:b w:val="0"/>
          <w:bCs/>
          <w:sz w:val="24"/>
          <w:szCs w:val="24"/>
          <w:lang w:val="en-US" w:eastAsia="zh-CN"/>
        </w:rPr>
        <w:t>6.1.1热值（数值保留至个位数）：</w:t>
      </w:r>
    </w:p>
    <w:tbl>
      <w:tblPr>
        <w:tblStyle w:val="12"/>
        <w:tblW w:w="905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752"/>
        <w:gridCol w:w="63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jc w:val="center"/>
        </w:trPr>
        <w:tc>
          <w:tcPr>
            <w:tcW w:w="2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收到基低位发热量(Qnet,ar)，</w:t>
            </w:r>
            <w:r>
              <w:rPr>
                <w:rFonts w:hint="eastAsia" w:ascii="Times New Roman" w:hAnsi="Times New Roman" w:eastAsia="宋体" w:cs="宋体"/>
                <w:i w:val="0"/>
                <w:color w:val="000000"/>
                <w:kern w:val="0"/>
                <w:sz w:val="21"/>
                <w:szCs w:val="21"/>
                <w:u w:val="none"/>
                <w:lang w:val="en-US" w:eastAsia="zh-CN" w:bidi="ar"/>
              </w:rPr>
              <w:br w:type="textWrapping"/>
            </w:r>
            <w:r>
              <w:rPr>
                <w:rFonts w:hint="eastAsia" w:ascii="Times New Roman" w:hAnsi="Times New Roman" w:eastAsia="宋体" w:cs="宋体"/>
                <w:i w:val="0"/>
                <w:color w:val="000000"/>
                <w:kern w:val="0"/>
                <w:sz w:val="21"/>
                <w:szCs w:val="21"/>
                <w:u w:val="none"/>
                <w:lang w:val="en-US" w:eastAsia="zh-CN" w:bidi="ar"/>
              </w:rPr>
              <w:t>单位为卡/克</w:t>
            </w:r>
          </w:p>
        </w:tc>
        <w:tc>
          <w:tcPr>
            <w:tcW w:w="6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结算单价（元/吨）计算方式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w:t>
            </w:r>
            <w:r>
              <w:rPr>
                <w:rFonts w:hint="eastAsia" w:ascii="Times New Roman" w:hAnsi="Times New Roman" w:eastAsia="宋体" w:cs="宋体"/>
                <w:i w:val="0"/>
                <w:color w:val="000000"/>
                <w:kern w:val="0"/>
                <w:sz w:val="21"/>
                <w:szCs w:val="21"/>
                <w:u w:val="none"/>
                <w:lang w:val="en-US" w:eastAsia="zh-CN" w:bidi="ar"/>
              </w:rPr>
              <w:t>5200</w:t>
            </w:r>
          </w:p>
        </w:tc>
        <w:tc>
          <w:tcPr>
            <w:tcW w:w="6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按5200卡/克结算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lang w:val="en-US"/>
              </w:rPr>
            </w:pPr>
            <w:r>
              <w:rPr>
                <w:rFonts w:hint="eastAsia" w:ascii="Times New Roman" w:hAnsi="Times New Roman" w:eastAsia="宋体" w:cs="宋体"/>
                <w:i w:val="0"/>
                <w:color w:val="000000"/>
                <w:kern w:val="0"/>
                <w:sz w:val="21"/>
                <w:szCs w:val="21"/>
                <w:u w:val="none"/>
                <w:lang w:val="en-US" w:eastAsia="zh-CN" w:bidi="ar"/>
              </w:rPr>
              <w:t>(</w:t>
            </w:r>
            <w:r>
              <w:rPr>
                <w:rFonts w:hint="eastAsia" w:ascii="Times New Roman" w:hAnsi="Times New Roman" w:eastAsia="宋体" w:cs="宋体"/>
                <w:i w:val="0"/>
                <w:color w:val="000000"/>
                <w:kern w:val="0"/>
                <w:sz w:val="21"/>
                <w:szCs w:val="21"/>
                <w:u w:val="none"/>
                <w:lang w:val="en-US" w:eastAsia="zh-CN" w:bidi="ar"/>
              </w:rPr>
              <w:t>5000</w:t>
            </w:r>
            <w:r>
              <w:rPr>
                <w:rFonts w:hint="eastAsia" w:ascii="Times New Roman" w:hAnsi="Times New Roman" w:eastAsia="宋体" w:cs="宋体"/>
                <w:i w:val="0"/>
                <w:color w:val="000000"/>
                <w:kern w:val="0"/>
                <w:sz w:val="21"/>
                <w:szCs w:val="21"/>
                <w:u w:val="none"/>
                <w:lang w:val="en-US" w:eastAsia="zh-CN" w:bidi="ar"/>
              </w:rPr>
              <w:t>,</w:t>
            </w:r>
            <w:r>
              <w:rPr>
                <w:rFonts w:hint="eastAsia" w:ascii="Times New Roman" w:hAnsi="Times New Roman" w:eastAsia="宋体" w:cs="宋体"/>
                <w:i w:val="0"/>
                <w:color w:val="000000"/>
                <w:kern w:val="0"/>
                <w:sz w:val="21"/>
                <w:szCs w:val="21"/>
                <w:u w:val="none"/>
                <w:lang w:val="en-US" w:eastAsia="zh-CN" w:bidi="ar"/>
              </w:rPr>
              <w:t>5200</w:t>
            </w:r>
            <w:r>
              <w:rPr>
                <w:rFonts w:hint="eastAsia" w:ascii="Times New Roman" w:hAnsi="Times New Roman" w:eastAsia="宋体" w:cs="宋体"/>
                <w:i w:val="0"/>
                <w:color w:val="000000"/>
                <w:kern w:val="0"/>
                <w:sz w:val="21"/>
                <w:szCs w:val="21"/>
                <w:u w:val="none"/>
                <w:lang w:val="en-US" w:eastAsia="zh-CN" w:bidi="ar"/>
              </w:rPr>
              <w:t>]</w:t>
            </w:r>
          </w:p>
        </w:tc>
        <w:tc>
          <w:tcPr>
            <w:tcW w:w="6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与5000卡/克相比，每高1卡/克，单价加Jo/Qo*80%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Qnet,ar=5000＝Qo</w:t>
            </w:r>
          </w:p>
        </w:tc>
        <w:tc>
          <w:tcPr>
            <w:tcW w:w="6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执行基准到厂价Jo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lang w:val="en-US"/>
              </w:rPr>
            </w:pPr>
            <w:r>
              <w:rPr>
                <w:rFonts w:hint="eastAsia" w:ascii="Times New Roman" w:hAnsi="Times New Roman" w:eastAsia="宋体" w:cs="宋体"/>
                <w:i w:val="0"/>
                <w:color w:val="000000"/>
                <w:kern w:val="0"/>
                <w:sz w:val="21"/>
                <w:szCs w:val="21"/>
                <w:u w:val="none"/>
                <w:lang w:val="en-US" w:eastAsia="zh-CN" w:bidi="ar"/>
              </w:rPr>
              <w:t>[</w:t>
            </w:r>
            <w:r>
              <w:rPr>
                <w:rFonts w:hint="eastAsia" w:ascii="Times New Roman" w:hAnsi="Times New Roman" w:eastAsia="宋体" w:cs="宋体"/>
                <w:i w:val="0"/>
                <w:color w:val="000000"/>
                <w:kern w:val="0"/>
                <w:sz w:val="21"/>
                <w:szCs w:val="21"/>
                <w:u w:val="none"/>
                <w:lang w:val="en-US" w:eastAsia="zh-CN" w:bidi="ar"/>
              </w:rPr>
              <w:t>4700</w:t>
            </w:r>
            <w:r>
              <w:rPr>
                <w:rFonts w:hint="eastAsia" w:ascii="Times New Roman" w:hAnsi="Times New Roman" w:eastAsia="宋体" w:cs="宋体"/>
                <w:i w:val="0"/>
                <w:color w:val="000000"/>
                <w:kern w:val="0"/>
                <w:sz w:val="21"/>
                <w:szCs w:val="21"/>
                <w:u w:val="none"/>
                <w:lang w:val="en-US" w:eastAsia="zh-CN" w:bidi="ar"/>
              </w:rPr>
              <w:t>,</w:t>
            </w:r>
            <w:r>
              <w:rPr>
                <w:rFonts w:hint="eastAsia" w:ascii="Times New Roman" w:hAnsi="Times New Roman" w:eastAsia="宋体" w:cs="宋体"/>
                <w:i w:val="0"/>
                <w:color w:val="000000"/>
                <w:kern w:val="0"/>
                <w:sz w:val="21"/>
                <w:szCs w:val="21"/>
                <w:u w:val="none"/>
                <w:lang w:val="en-US" w:eastAsia="zh-CN" w:bidi="ar"/>
              </w:rPr>
              <w:t>5000</w:t>
            </w:r>
            <w:r>
              <w:rPr>
                <w:rFonts w:hint="eastAsia" w:ascii="Times New Roman" w:hAnsi="Times New Roman" w:eastAsia="宋体" w:cs="宋体"/>
                <w:i w:val="0"/>
                <w:color w:val="000000"/>
                <w:kern w:val="0"/>
                <w:sz w:val="21"/>
                <w:szCs w:val="21"/>
                <w:u w:val="none"/>
                <w:lang w:val="en-US" w:eastAsia="zh-CN" w:bidi="ar"/>
              </w:rPr>
              <w:t>)</w:t>
            </w:r>
          </w:p>
        </w:tc>
        <w:tc>
          <w:tcPr>
            <w:tcW w:w="6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与5000卡/克相比，每低1卡/克，单价扣Jo/Qo，4700（含）卡/克以上可加权平均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2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lang w:val="en-US"/>
              </w:rPr>
            </w:pPr>
            <w:r>
              <w:rPr>
                <w:rFonts w:hint="eastAsia" w:ascii="Times New Roman" w:hAnsi="Times New Roman" w:eastAsia="宋体" w:cs="宋体"/>
                <w:i w:val="0"/>
                <w:color w:val="000000"/>
                <w:kern w:val="0"/>
                <w:sz w:val="21"/>
                <w:szCs w:val="21"/>
                <w:u w:val="none"/>
                <w:lang w:val="en-US" w:eastAsia="zh-CN" w:bidi="ar"/>
              </w:rPr>
              <w:t>[</w:t>
            </w:r>
            <w:r>
              <w:rPr>
                <w:rFonts w:hint="eastAsia" w:ascii="Times New Roman" w:hAnsi="Times New Roman" w:eastAsia="宋体" w:cs="宋体"/>
                <w:i w:val="0"/>
                <w:color w:val="000000"/>
                <w:kern w:val="0"/>
                <w:sz w:val="21"/>
                <w:szCs w:val="21"/>
                <w:u w:val="none"/>
                <w:lang w:val="en-US" w:eastAsia="zh-CN" w:bidi="ar"/>
              </w:rPr>
              <w:t>4300</w:t>
            </w:r>
            <w:r>
              <w:rPr>
                <w:rFonts w:hint="eastAsia" w:ascii="Times New Roman" w:hAnsi="Times New Roman" w:eastAsia="宋体" w:cs="宋体"/>
                <w:i w:val="0"/>
                <w:color w:val="000000"/>
                <w:kern w:val="0"/>
                <w:sz w:val="21"/>
                <w:szCs w:val="21"/>
                <w:u w:val="none"/>
                <w:lang w:val="en-US" w:eastAsia="zh-CN" w:bidi="ar"/>
              </w:rPr>
              <w:t>,</w:t>
            </w:r>
            <w:r>
              <w:rPr>
                <w:rFonts w:hint="eastAsia" w:ascii="Times New Roman" w:hAnsi="Times New Roman" w:eastAsia="宋体" w:cs="宋体"/>
                <w:i w:val="0"/>
                <w:color w:val="000000"/>
                <w:kern w:val="0"/>
                <w:sz w:val="21"/>
                <w:szCs w:val="21"/>
                <w:u w:val="none"/>
                <w:lang w:val="en-US" w:eastAsia="zh-CN" w:bidi="ar"/>
              </w:rPr>
              <w:t>4700</w:t>
            </w:r>
            <w:r>
              <w:rPr>
                <w:rFonts w:hint="eastAsia" w:ascii="Times New Roman" w:hAnsi="Times New Roman" w:eastAsia="宋体" w:cs="宋体"/>
                <w:i w:val="0"/>
                <w:color w:val="000000"/>
                <w:kern w:val="0"/>
                <w:sz w:val="21"/>
                <w:szCs w:val="21"/>
                <w:u w:val="none"/>
                <w:lang w:val="en-US" w:eastAsia="zh-CN" w:bidi="ar"/>
              </w:rPr>
              <w:t>)</w:t>
            </w:r>
          </w:p>
        </w:tc>
        <w:tc>
          <w:tcPr>
            <w:tcW w:w="6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与4700卡/克相比，每低1卡/克，单价扣0.50，不得与4700卡/克（含）以上加权平均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2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＜4300</w:t>
            </w:r>
          </w:p>
        </w:tc>
        <w:tc>
          <w:tcPr>
            <w:tcW w:w="6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与4300卡/克相比，每低1卡/克，单价扣1，不得与4300卡/克（含）以上加权平均，直至当批货款结算为0元为止。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90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Times New Roman" w:hAnsi="Times New Roman" w:eastAsia="宋体" w:cs="宋体"/>
                <w:i w:val="0"/>
                <w:color w:val="000000"/>
                <w:kern w:val="0"/>
                <w:sz w:val="21"/>
                <w:szCs w:val="21"/>
                <w:u w:val="none"/>
                <w:lang w:val="en-US" w:eastAsia="zh-CN" w:bidi="ar"/>
              </w:rPr>
            </w:pPr>
            <w:r>
              <w:rPr>
                <w:rFonts w:hint="eastAsia" w:ascii="Times New Roman" w:hAnsi="Times New Roman" w:eastAsia="宋体" w:cs="宋体"/>
                <w:i w:val="0"/>
                <w:color w:val="000000"/>
                <w:kern w:val="0"/>
                <w:sz w:val="21"/>
                <w:szCs w:val="21"/>
                <w:u w:val="none"/>
                <w:lang w:val="en-US" w:eastAsia="zh-CN" w:bidi="ar"/>
              </w:rPr>
              <w:t>备注：①以上奖罚均分段计算，各段累加。</w:t>
            </w:r>
            <w:r>
              <w:rPr>
                <w:rFonts w:hint="eastAsia" w:ascii="Times New Roman" w:hAnsi="Times New Roman" w:eastAsia="宋体" w:cs="宋体"/>
                <w:i w:val="0"/>
                <w:color w:val="000000"/>
                <w:kern w:val="0"/>
                <w:sz w:val="21"/>
                <w:szCs w:val="21"/>
                <w:u w:val="none"/>
                <w:lang w:val="en-US" w:eastAsia="zh-CN" w:bidi="ar"/>
              </w:rPr>
              <w:br w:type="textWrapping"/>
            </w:r>
            <w:r>
              <w:rPr>
                <w:rFonts w:hint="eastAsia" w:ascii="Times New Roman" w:hAnsi="Times New Roman" w:eastAsia="宋体" w:cs="宋体"/>
                <w:i w:val="0"/>
                <w:color w:val="000000"/>
                <w:kern w:val="0"/>
                <w:sz w:val="21"/>
                <w:szCs w:val="21"/>
                <w:u w:val="none"/>
                <w:lang w:val="en-US" w:eastAsia="zh-CN" w:bidi="ar"/>
              </w:rPr>
              <w:t>　　　②以上计算单卡热值单价时保留3位小数，煤炭结算单价保留2位小数。</w:t>
            </w:r>
          </w:p>
          <w:p>
            <w:pPr>
              <w:keepNext w:val="0"/>
              <w:keepLines w:val="0"/>
              <w:widowControl/>
              <w:suppressLineNumbers w:val="0"/>
              <w:spacing w:line="240" w:lineRule="auto"/>
              <w:jc w:val="left"/>
              <w:textAlignment w:val="center"/>
              <w:rPr>
                <w:rFonts w:hint="eastAsia" w:ascii="Times New Roman" w:hAnsi="Times New Roman" w:eastAsia="宋体" w:cs="宋体"/>
                <w:i w:val="0"/>
                <w:color w:val="000000"/>
                <w:kern w:val="0"/>
                <w:sz w:val="21"/>
                <w:szCs w:val="21"/>
                <w:u w:val="none"/>
                <w:lang w:val="en-US" w:eastAsia="zh-CN" w:bidi="ar"/>
              </w:rPr>
            </w:pPr>
            <w:r>
              <w:rPr>
                <w:rFonts w:hint="eastAsia" w:ascii="Times New Roman" w:hAnsi="Times New Roman" w:eastAsia="宋体" w:cs="宋体"/>
                <w:i w:val="0"/>
                <w:color w:val="000000"/>
                <w:kern w:val="0"/>
                <w:sz w:val="21"/>
                <w:szCs w:val="21"/>
                <w:u w:val="none"/>
                <w:lang w:val="en-US" w:eastAsia="zh-CN" w:bidi="ar"/>
              </w:rPr>
              <w:t>　　　③</w:t>
            </w:r>
            <w:r>
              <w:rPr>
                <w:rFonts w:hint="eastAsia" w:ascii="Times New Roman" w:hAnsi="Times New Roman" w:eastAsia="宋体" w:cs="宋体"/>
                <w:i w:val="0"/>
                <w:color w:val="000000"/>
                <w:kern w:val="0"/>
                <w:sz w:val="21"/>
                <w:szCs w:val="21"/>
                <w:u w:val="none"/>
                <w:lang w:val="en-US" w:eastAsia="zh-CN" w:bidi="ar"/>
              </w:rPr>
              <w:t>区间符号“[”“</w:t>
            </w:r>
            <w:r>
              <w:rPr>
                <w:rFonts w:hint="eastAsia" w:ascii="Times New Roman" w:hAnsi="Times New Roman" w:eastAsia="宋体" w:cs="宋体"/>
                <w:i w:val="0"/>
                <w:color w:val="000000"/>
                <w:kern w:val="0"/>
                <w:sz w:val="21"/>
                <w:szCs w:val="21"/>
                <w:u w:val="none"/>
                <w:lang w:val="en-US" w:eastAsia="zh-CN" w:bidi="ar"/>
              </w:rPr>
              <w:t>]</w:t>
            </w:r>
            <w:r>
              <w:rPr>
                <w:rFonts w:hint="eastAsia" w:ascii="Times New Roman" w:hAnsi="Times New Roman" w:eastAsia="宋体" w:cs="宋体"/>
                <w:i w:val="0"/>
                <w:color w:val="000000"/>
                <w:kern w:val="0"/>
                <w:sz w:val="21"/>
                <w:szCs w:val="21"/>
                <w:u w:val="none"/>
                <w:lang w:val="en-US" w:eastAsia="zh-CN" w:bidi="ar"/>
              </w:rPr>
              <w:t>”表示包含端点，“</w:t>
            </w:r>
            <w:r>
              <w:rPr>
                <w:rFonts w:hint="eastAsia" w:ascii="Times New Roman" w:hAnsi="Times New Roman" w:eastAsia="宋体" w:cs="宋体"/>
                <w:i w:val="0"/>
                <w:color w:val="000000"/>
                <w:kern w:val="0"/>
                <w:sz w:val="21"/>
                <w:szCs w:val="21"/>
                <w:u w:val="none"/>
                <w:lang w:val="en-US" w:eastAsia="zh-CN" w:bidi="ar"/>
              </w:rPr>
              <w:t>(</w:t>
            </w:r>
            <w:r>
              <w:rPr>
                <w:rFonts w:hint="eastAsia" w:ascii="Times New Roman" w:hAnsi="Times New Roman" w:eastAsia="宋体" w:cs="宋体"/>
                <w:i w:val="0"/>
                <w:color w:val="000000"/>
                <w:kern w:val="0"/>
                <w:sz w:val="21"/>
                <w:szCs w:val="21"/>
                <w:u w:val="none"/>
                <w:lang w:val="en-US" w:eastAsia="zh-CN" w:bidi="ar"/>
              </w:rPr>
              <w:t>”“)”表示不包含端点。</w:t>
            </w:r>
          </w:p>
        </w:tc>
      </w:tr>
    </w:tbl>
    <w:p>
      <w:pPr>
        <w:keepNext w:val="0"/>
        <w:keepLines w:val="0"/>
        <w:pageBreakBefore w:val="0"/>
        <w:widowControl w:val="0"/>
        <w:kinsoku/>
        <w:wordWrap/>
        <w:overflowPunct/>
        <w:topLinePunct w:val="0"/>
        <w:autoSpaceDE/>
        <w:autoSpaceDN/>
        <w:bidi w:val="0"/>
        <w:adjustRightInd w:val="0"/>
        <w:snapToGrid/>
        <w:spacing w:before="157" w:beforeLines="50" w:after="63" w:afterLines="20" w:line="444" w:lineRule="exact"/>
        <w:ind w:firstLine="480" w:firstLineChars="200"/>
        <w:textAlignment w:val="baseline"/>
        <w:outlineLvl w:val="9"/>
        <w:rPr>
          <w:rFonts w:hint="eastAsia" w:ascii="Times New Roman" w:hAnsi="Times New Roman" w:eastAsia="宋体" w:cs="宋体"/>
          <w:b w:val="0"/>
          <w:bCs/>
          <w:sz w:val="24"/>
          <w:szCs w:val="24"/>
          <w:lang w:val="en-US" w:eastAsia="zh-CN"/>
        </w:rPr>
      </w:pPr>
      <w:r>
        <w:rPr>
          <w:rFonts w:hint="eastAsia" w:ascii="Times New Roman" w:hAnsi="Times New Roman" w:eastAsia="宋体" w:cs="宋体"/>
          <w:b w:val="0"/>
          <w:bCs/>
          <w:sz w:val="24"/>
          <w:szCs w:val="24"/>
          <w:lang w:val="en-US" w:eastAsia="zh-CN"/>
        </w:rPr>
        <w:t>6.1.2挥发份（数值四舍五入，保留小数点后一位小数）：</w:t>
      </w:r>
    </w:p>
    <w:tbl>
      <w:tblPr>
        <w:tblStyle w:val="12"/>
        <w:tblW w:w="905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107"/>
        <w:gridCol w:w="69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挥发份</w:t>
            </w:r>
          </w:p>
        </w:tc>
        <w:tc>
          <w:tcPr>
            <w:tcW w:w="6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结算单价（元/吨）计算方式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[2.7%,3.0%)</w:t>
            </w:r>
          </w:p>
        </w:tc>
        <w:tc>
          <w:tcPr>
            <w:tcW w:w="6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与3.0%相比，每低0.1个百分点，单价扣5（可与2.7%含2.7%以上加权平均）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[2.5%,2.7%)</w:t>
            </w:r>
          </w:p>
        </w:tc>
        <w:tc>
          <w:tcPr>
            <w:tcW w:w="6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与2.7%相比，每低0.1个百分点，单价扣10（不得与2.7%以上加权平均）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[2.3%,2.5%)</w:t>
            </w:r>
          </w:p>
        </w:tc>
        <w:tc>
          <w:tcPr>
            <w:tcW w:w="6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与2.5%相比，每低0.1个百分点，单价扣20（不得与2.5%以上加权平均）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[2.0%,2.3%)</w:t>
            </w:r>
          </w:p>
        </w:tc>
        <w:tc>
          <w:tcPr>
            <w:tcW w:w="6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与2.3%相比，每低0.1个百分点，单价扣50（不得与2.3%以上加权平均）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＜2.0%</w:t>
            </w:r>
          </w:p>
        </w:tc>
        <w:tc>
          <w:tcPr>
            <w:tcW w:w="6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该批次货物退货或协商解决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90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Times New Roman" w:hAnsi="Times New Roman" w:eastAsia="宋体" w:cs="宋体"/>
                <w:i w:val="0"/>
                <w:color w:val="000000"/>
                <w:kern w:val="0"/>
                <w:sz w:val="21"/>
                <w:szCs w:val="21"/>
                <w:u w:val="none"/>
                <w:lang w:val="en-US" w:eastAsia="zh-CN" w:bidi="ar"/>
              </w:rPr>
            </w:pPr>
            <w:r>
              <w:rPr>
                <w:rFonts w:hint="eastAsia" w:ascii="Times New Roman" w:hAnsi="Times New Roman" w:eastAsia="宋体" w:cs="宋体"/>
                <w:i w:val="0"/>
                <w:color w:val="000000"/>
                <w:kern w:val="0"/>
                <w:sz w:val="21"/>
                <w:szCs w:val="21"/>
                <w:u w:val="none"/>
                <w:lang w:val="en-US" w:eastAsia="zh-CN" w:bidi="ar"/>
              </w:rPr>
              <w:t>备注：①区间符号“[”表示包含端点，“)”表示不包含端点。</w:t>
            </w:r>
          </w:p>
          <w:p>
            <w:pPr>
              <w:keepNext w:val="0"/>
              <w:keepLines w:val="0"/>
              <w:widowControl/>
              <w:suppressLineNumbers w:val="0"/>
              <w:spacing w:line="240" w:lineRule="auto"/>
              <w:jc w:val="left"/>
              <w:textAlignment w:val="center"/>
              <w:rPr>
                <w:rFonts w:hint="eastAsia" w:ascii="Times New Roman" w:hAnsi="Times New Roman" w:eastAsia="宋体" w:cs="宋体"/>
                <w:i w:val="0"/>
                <w:color w:val="000000"/>
                <w:kern w:val="0"/>
                <w:sz w:val="21"/>
                <w:szCs w:val="21"/>
                <w:u w:val="none"/>
                <w:lang w:val="en-US" w:eastAsia="zh-CN" w:bidi="ar"/>
              </w:rPr>
            </w:pPr>
            <w:r>
              <w:rPr>
                <w:rFonts w:hint="eastAsia" w:ascii="Times New Roman" w:hAnsi="Times New Roman" w:eastAsia="宋体" w:cs="宋体"/>
                <w:i w:val="0"/>
                <w:color w:val="000000"/>
                <w:kern w:val="0"/>
                <w:sz w:val="21"/>
                <w:szCs w:val="21"/>
                <w:u w:val="none"/>
                <w:lang w:val="en-US" w:eastAsia="zh-CN" w:bidi="ar"/>
              </w:rPr>
              <w:t>　　　②按区间分段累加计算结算单价。</w:t>
            </w:r>
          </w:p>
        </w:tc>
      </w:tr>
    </w:tbl>
    <w:p>
      <w:pPr>
        <w:keepNext w:val="0"/>
        <w:keepLines w:val="0"/>
        <w:pageBreakBefore w:val="0"/>
        <w:widowControl w:val="0"/>
        <w:kinsoku/>
        <w:wordWrap/>
        <w:overflowPunct/>
        <w:topLinePunct w:val="0"/>
        <w:autoSpaceDE/>
        <w:autoSpaceDN/>
        <w:bidi w:val="0"/>
        <w:adjustRightInd w:val="0"/>
        <w:snapToGrid/>
        <w:spacing w:before="157" w:beforeLines="50" w:after="63" w:afterLines="20" w:line="240" w:lineRule="auto"/>
        <w:ind w:firstLine="480" w:firstLineChars="200"/>
        <w:textAlignment w:val="baseline"/>
        <w:outlineLvl w:val="9"/>
        <w:rPr>
          <w:rFonts w:hint="eastAsia" w:ascii="Times New Roman" w:hAnsi="Times New Roman" w:eastAsia="宋体" w:cs="宋体"/>
          <w:b w:val="0"/>
          <w:bCs/>
          <w:sz w:val="24"/>
          <w:szCs w:val="24"/>
          <w:lang w:val="en-US" w:eastAsia="zh-CN"/>
        </w:rPr>
      </w:pPr>
      <w:r>
        <w:rPr>
          <w:rFonts w:hint="eastAsia" w:ascii="Times New Roman" w:hAnsi="Times New Roman" w:eastAsia="宋体" w:cs="宋体"/>
          <w:b w:val="0"/>
          <w:bCs/>
          <w:sz w:val="24"/>
          <w:szCs w:val="24"/>
          <w:lang w:val="en-US" w:eastAsia="zh-CN"/>
        </w:rPr>
        <w:t>6.1.3含硫量（数值四舍五入，保留小数点后一位小数）：</w:t>
      </w:r>
    </w:p>
    <w:tbl>
      <w:tblPr>
        <w:tblStyle w:val="12"/>
        <w:tblW w:w="905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107"/>
        <w:gridCol w:w="69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含硫量</w:t>
            </w:r>
          </w:p>
        </w:tc>
        <w:tc>
          <w:tcPr>
            <w:tcW w:w="6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结算单价（元/吨）计算方式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＞1.3%</w:t>
            </w:r>
          </w:p>
        </w:tc>
        <w:tc>
          <w:tcPr>
            <w:tcW w:w="6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与1.3%相比，每超0.1个百分点，单价扣10，不得与1.3%以下加权平均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2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(1.0%,1.3%]</w:t>
            </w:r>
          </w:p>
        </w:tc>
        <w:tc>
          <w:tcPr>
            <w:tcW w:w="6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spacing w:line="240" w:lineRule="auto"/>
              <w:ind w:firstLine="210" w:firstLineChars="100"/>
              <w:jc w:val="left"/>
              <w:textAlignment w:val="center"/>
              <w:outlineLvl w:val="9"/>
              <w:rPr>
                <w:rFonts w:hint="eastAsia" w:ascii="Times New Roman" w:hAnsi="Times New Roman" w:eastAsia="宋体" w:cs="宋体"/>
                <w:i w:val="0"/>
                <w:color w:val="000000"/>
                <w:sz w:val="21"/>
                <w:szCs w:val="21"/>
                <w:u w:val="none"/>
              </w:rPr>
            </w:pPr>
            <w:r>
              <w:rPr>
                <w:rFonts w:hint="eastAsia" w:ascii="Times New Roman" w:hAnsi="Times New Roman" w:eastAsia="宋体" w:cs="宋体"/>
                <w:i w:val="0"/>
                <w:color w:val="000000"/>
                <w:kern w:val="0"/>
                <w:sz w:val="21"/>
                <w:szCs w:val="21"/>
                <w:u w:val="none"/>
                <w:lang w:val="en-US" w:eastAsia="zh-CN" w:bidi="ar"/>
              </w:rPr>
              <w:t>与1.0%相比，每超0.1个百分点，单价扣2，1.3%以下可加权平均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jc w:val="center"/>
        </w:trPr>
        <w:tc>
          <w:tcPr>
            <w:tcW w:w="90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Times New Roman" w:hAnsi="Times New Roman" w:eastAsia="宋体" w:cs="宋体"/>
                <w:i w:val="0"/>
                <w:color w:val="000000"/>
                <w:kern w:val="0"/>
                <w:sz w:val="21"/>
                <w:szCs w:val="21"/>
                <w:u w:val="none"/>
                <w:lang w:val="en-US" w:eastAsia="zh-CN" w:bidi="ar"/>
              </w:rPr>
            </w:pPr>
            <w:r>
              <w:rPr>
                <w:rFonts w:hint="eastAsia" w:ascii="Times New Roman" w:hAnsi="Times New Roman" w:eastAsia="宋体" w:cs="宋体"/>
                <w:i w:val="0"/>
                <w:color w:val="000000"/>
                <w:kern w:val="0"/>
                <w:sz w:val="21"/>
                <w:szCs w:val="21"/>
                <w:u w:val="none"/>
                <w:lang w:val="en-US" w:eastAsia="zh-CN" w:bidi="ar"/>
              </w:rPr>
              <w:t>备注：①区间符号“]”表示包含端点，“(”表示不包含端点。</w:t>
            </w:r>
          </w:p>
          <w:p>
            <w:pPr>
              <w:keepNext w:val="0"/>
              <w:keepLines w:val="0"/>
              <w:widowControl/>
              <w:suppressLineNumbers w:val="0"/>
              <w:spacing w:line="240" w:lineRule="auto"/>
              <w:jc w:val="left"/>
              <w:textAlignment w:val="center"/>
              <w:rPr>
                <w:rFonts w:hint="eastAsia" w:ascii="Times New Roman" w:hAnsi="Times New Roman" w:eastAsia="宋体" w:cs="宋体"/>
                <w:i w:val="0"/>
                <w:color w:val="000000"/>
                <w:kern w:val="0"/>
                <w:sz w:val="21"/>
                <w:szCs w:val="21"/>
                <w:u w:val="none"/>
                <w:lang w:val="en-US" w:eastAsia="zh-CN" w:bidi="ar"/>
              </w:rPr>
            </w:pPr>
            <w:r>
              <w:rPr>
                <w:rFonts w:hint="eastAsia" w:ascii="Times New Roman" w:hAnsi="Times New Roman" w:eastAsia="宋体" w:cs="宋体"/>
                <w:i w:val="0"/>
                <w:color w:val="000000"/>
                <w:kern w:val="0"/>
                <w:sz w:val="21"/>
                <w:szCs w:val="21"/>
                <w:u w:val="none"/>
                <w:lang w:val="en-US" w:eastAsia="zh-CN" w:bidi="ar"/>
              </w:rPr>
              <w:t>　　　②按区间分段累加计算结算单价。</w:t>
            </w:r>
          </w:p>
        </w:tc>
      </w:tr>
    </w:tbl>
    <w:p>
      <w:pPr>
        <w:spacing w:line="444" w:lineRule="exact"/>
        <w:ind w:firstLine="480" w:firstLineChars="200"/>
        <w:rPr>
          <w:rFonts w:hint="eastAsia" w:ascii="Times New Roman" w:hAnsi="Times New Roman" w:eastAsia="宋体" w:cs="宋体"/>
          <w:b w:val="0"/>
          <w:bCs/>
          <w:sz w:val="24"/>
          <w:szCs w:val="24"/>
          <w:lang w:val="en-US" w:eastAsia="zh-CN"/>
        </w:rPr>
      </w:pPr>
      <w:r>
        <w:rPr>
          <w:rFonts w:hint="eastAsia" w:ascii="Times New Roman" w:hAnsi="Times New Roman" w:eastAsia="宋体" w:cs="宋体"/>
          <w:b w:val="0"/>
          <w:bCs/>
          <w:sz w:val="24"/>
          <w:szCs w:val="24"/>
          <w:lang w:val="en-US" w:eastAsia="zh-CN"/>
        </w:rPr>
        <w:t>6.1.4各项扣款累加计算，以扣完全部煤款为限。由于乙方所供应煤炭质量原因造成装卸作业单位或使用单位不良后果时，乙方承担因此产生的一切损失。</w:t>
      </w:r>
    </w:p>
    <w:p>
      <w:pPr>
        <w:spacing w:line="444" w:lineRule="exact"/>
        <w:ind w:firstLine="480" w:firstLineChars="200"/>
        <w:rPr>
          <w:rFonts w:hint="eastAsia" w:ascii="Times New Roman" w:hAnsi="Times New Roman" w:eastAsia="宋体" w:cs="宋体"/>
          <w:b w:val="0"/>
          <w:bCs/>
          <w:sz w:val="24"/>
          <w:szCs w:val="24"/>
          <w:lang w:val="en-US" w:eastAsia="zh-CN"/>
        </w:rPr>
      </w:pPr>
      <w:r>
        <w:rPr>
          <w:rFonts w:hint="eastAsia" w:ascii="Times New Roman" w:hAnsi="Times New Roman" w:eastAsia="宋体" w:cs="宋体"/>
          <w:b w:val="0"/>
          <w:bCs/>
          <w:sz w:val="24"/>
          <w:szCs w:val="24"/>
          <w:lang w:val="en-US" w:eastAsia="zh-CN"/>
        </w:rPr>
        <w:t>6.1.5水份（数值四舍五入，保留小数点后二位小数）：超过8.00%部份按比例扣重量。汽车煤超过9.00%部份按2倍扣重量；火车煤超过11.00%部份按比例1.5倍扣重量。水份不得加权平均。</w:t>
      </w:r>
    </w:p>
    <w:p>
      <w:pPr>
        <w:spacing w:line="444" w:lineRule="exact"/>
        <w:ind w:firstLine="480" w:firstLineChars="200"/>
        <w:rPr>
          <w:rFonts w:hint="eastAsia" w:ascii="Times New Roman" w:hAnsi="Times New Roman" w:eastAsia="宋体" w:cs="宋体"/>
          <w:b w:val="0"/>
          <w:bCs/>
          <w:sz w:val="24"/>
          <w:szCs w:val="24"/>
          <w:lang w:val="en-US" w:eastAsia="zh-CN"/>
        </w:rPr>
      </w:pPr>
      <w:r>
        <w:rPr>
          <w:rFonts w:hint="eastAsia" w:ascii="Times New Roman" w:hAnsi="Times New Roman" w:eastAsia="宋体" w:cs="宋体"/>
          <w:b w:val="0"/>
          <w:bCs/>
          <w:sz w:val="24"/>
          <w:szCs w:val="24"/>
          <w:lang w:val="en-US" w:eastAsia="zh-CN"/>
        </w:rPr>
        <w:t>6.2数量奖罚标准：</w:t>
      </w:r>
      <w:bookmarkStart w:id="0" w:name="_GoBack"/>
      <w:bookmarkEnd w:id="0"/>
    </w:p>
    <w:p>
      <w:pPr>
        <w:spacing w:line="444" w:lineRule="exact"/>
        <w:ind w:firstLine="480" w:firstLineChars="200"/>
        <w:rPr>
          <w:rFonts w:hint="eastAsia" w:ascii="Times New Roman" w:hAnsi="Times New Roman" w:eastAsia="宋体" w:cs="宋体"/>
          <w:b w:val="0"/>
          <w:bCs/>
          <w:sz w:val="24"/>
          <w:szCs w:val="24"/>
          <w:lang w:val="en-US" w:eastAsia="zh-CN"/>
        </w:rPr>
      </w:pPr>
      <w:r>
        <w:rPr>
          <w:rFonts w:hint="eastAsia" w:ascii="Times New Roman" w:hAnsi="Times New Roman" w:eastAsia="宋体" w:cs="宋体"/>
          <w:b w:val="0"/>
          <w:bCs/>
          <w:sz w:val="24"/>
          <w:szCs w:val="24"/>
          <w:lang w:val="en-US" w:eastAsia="zh-CN"/>
        </w:rPr>
        <w:t>指扣除退货、水份扣重后的数量，以实际结算量计算。合同量≤2000吨的，发运量为合同量±100吨；合同量＞2000吨的，发运量为合同量的±6%。未完成及超过发运量的每±1吨扣200元，直至扣完合同履约保证金为止。</w:t>
      </w:r>
    </w:p>
    <w:p>
      <w:pPr>
        <w:spacing w:line="444" w:lineRule="exact"/>
        <w:ind w:firstLine="482" w:firstLineChars="200"/>
        <w:rPr>
          <w:rFonts w:hint="eastAsia" w:ascii="Times New Roman" w:hAnsi="Times New Roman" w:eastAsia="宋体" w:cs="宋体"/>
          <w:b/>
          <w:sz w:val="24"/>
          <w:szCs w:val="24"/>
        </w:rPr>
      </w:pPr>
      <w:r>
        <w:rPr>
          <w:rFonts w:hint="eastAsia" w:ascii="Times New Roman" w:hAnsi="Times New Roman" w:eastAsia="宋体" w:cs="宋体"/>
          <w:b/>
          <w:sz w:val="24"/>
          <w:szCs w:val="24"/>
          <w:lang w:val="en-US" w:eastAsia="zh-CN"/>
        </w:rPr>
        <w:t>7</w:t>
      </w:r>
      <w:r>
        <w:rPr>
          <w:rFonts w:hint="eastAsia" w:ascii="Times New Roman" w:hAnsi="Times New Roman" w:eastAsia="宋体" w:cs="宋体"/>
          <w:b/>
          <w:sz w:val="24"/>
          <w:szCs w:val="24"/>
        </w:rPr>
        <w:t>.</w:t>
      </w:r>
      <w:r>
        <w:rPr>
          <w:rFonts w:hint="eastAsia" w:ascii="Times New Roman" w:hAnsi="Times New Roman" w:eastAsia="宋体" w:cs="宋体"/>
          <w:b/>
          <w:sz w:val="24"/>
          <w:szCs w:val="24"/>
          <w:lang w:eastAsia="zh-CN"/>
        </w:rPr>
        <w:t>结算及</w:t>
      </w:r>
      <w:r>
        <w:rPr>
          <w:rFonts w:hint="eastAsia" w:ascii="Times New Roman" w:hAnsi="Times New Roman" w:eastAsia="宋体" w:cs="宋体"/>
          <w:b/>
          <w:sz w:val="24"/>
          <w:szCs w:val="24"/>
        </w:rPr>
        <w:t>付款方式</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7</w:t>
      </w:r>
      <w:r>
        <w:rPr>
          <w:rFonts w:hint="eastAsia" w:ascii="Times New Roman" w:hAnsi="Times New Roman" w:eastAsia="宋体" w:cs="宋体"/>
          <w:sz w:val="24"/>
          <w:szCs w:val="24"/>
        </w:rPr>
        <w:t>.1按招标人化验的实际数据结算。</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7</w:t>
      </w:r>
      <w:r>
        <w:rPr>
          <w:rFonts w:hint="eastAsia" w:ascii="Times New Roman" w:hAnsi="Times New Roman" w:eastAsia="宋体" w:cs="宋体"/>
          <w:sz w:val="24"/>
          <w:szCs w:val="24"/>
        </w:rPr>
        <w:t>.2一票制方式结算，我司财务部收到中标人开具的13%全额增值税专用发票45天以银行承兑汇票支付。</w:t>
      </w:r>
    </w:p>
    <w:p>
      <w:pPr>
        <w:spacing w:line="444" w:lineRule="exact"/>
        <w:ind w:firstLine="482" w:firstLineChars="200"/>
        <w:rPr>
          <w:rFonts w:hint="eastAsia" w:ascii="Times New Roman" w:hAnsi="Times New Roman" w:eastAsia="宋体" w:cs="宋体"/>
          <w:b/>
          <w:sz w:val="24"/>
          <w:szCs w:val="24"/>
        </w:rPr>
      </w:pPr>
      <w:r>
        <w:rPr>
          <w:rFonts w:hint="eastAsia" w:ascii="Times New Roman" w:hAnsi="Times New Roman" w:eastAsia="宋体" w:cs="宋体"/>
          <w:b/>
          <w:sz w:val="24"/>
          <w:szCs w:val="24"/>
          <w:lang w:val="en-US" w:eastAsia="zh-CN"/>
        </w:rPr>
        <w:t>8</w:t>
      </w:r>
      <w:r>
        <w:rPr>
          <w:rFonts w:hint="eastAsia" w:ascii="Times New Roman" w:hAnsi="Times New Roman" w:eastAsia="宋体" w:cs="宋体"/>
          <w:b/>
          <w:sz w:val="24"/>
          <w:szCs w:val="24"/>
        </w:rPr>
        <w:t>.报价规定</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8</w:t>
      </w:r>
      <w:r>
        <w:rPr>
          <w:rFonts w:hint="eastAsia" w:ascii="Times New Roman" w:hAnsi="Times New Roman" w:eastAsia="宋体" w:cs="宋体"/>
          <w:sz w:val="24"/>
          <w:szCs w:val="24"/>
        </w:rPr>
        <w:t>.1所报价格含13%增值税、含运费，铁路运输为到站吨单价；汽车运输为到厂吨单价。</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8</w:t>
      </w:r>
      <w:r>
        <w:rPr>
          <w:rFonts w:hint="eastAsia" w:ascii="Times New Roman" w:hAnsi="Times New Roman" w:eastAsia="宋体" w:cs="宋体"/>
          <w:sz w:val="24"/>
          <w:szCs w:val="24"/>
        </w:rPr>
        <w:t>.2在</w:t>
      </w:r>
      <w:r>
        <w:rPr>
          <w:rFonts w:hint="eastAsia" w:ascii="Times New Roman" w:hAnsi="Times New Roman" w:eastAsia="宋体" w:cs="宋体"/>
          <w:sz w:val="24"/>
          <w:szCs w:val="24"/>
          <w:lang w:eastAsia="zh-CN"/>
        </w:rPr>
        <w:t>报价表中</w:t>
      </w:r>
      <w:r>
        <w:rPr>
          <w:rFonts w:hint="eastAsia" w:ascii="Times New Roman" w:hAnsi="Times New Roman" w:eastAsia="宋体" w:cs="宋体"/>
          <w:sz w:val="24"/>
          <w:szCs w:val="24"/>
        </w:rPr>
        <w:t>注明无烟煤发货地区（火车站名）或产地（出矿点）。</w:t>
      </w:r>
    </w:p>
    <w:p>
      <w:pPr>
        <w:spacing w:line="444" w:lineRule="exact"/>
        <w:ind w:firstLine="482" w:firstLineChars="200"/>
        <w:rPr>
          <w:rFonts w:hint="eastAsia" w:ascii="Times New Roman" w:hAnsi="Times New Roman" w:eastAsia="宋体" w:cs="宋体"/>
          <w:b/>
          <w:sz w:val="24"/>
          <w:szCs w:val="24"/>
        </w:rPr>
      </w:pPr>
      <w:r>
        <w:rPr>
          <w:rFonts w:hint="eastAsia" w:ascii="Times New Roman" w:hAnsi="Times New Roman" w:eastAsia="宋体" w:cs="宋体"/>
          <w:b/>
          <w:sz w:val="24"/>
          <w:szCs w:val="24"/>
          <w:lang w:val="en-US" w:eastAsia="zh-CN"/>
        </w:rPr>
        <w:t>9</w:t>
      </w:r>
      <w:r>
        <w:rPr>
          <w:rFonts w:hint="eastAsia" w:ascii="Times New Roman" w:hAnsi="Times New Roman" w:eastAsia="宋体" w:cs="宋体"/>
          <w:b/>
          <w:sz w:val="24"/>
          <w:szCs w:val="24"/>
        </w:rPr>
        <w:t>.评标办法</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9.1</w:t>
      </w:r>
      <w:r>
        <w:rPr>
          <w:rFonts w:hint="eastAsia" w:ascii="Times New Roman" w:hAnsi="Times New Roman" w:eastAsia="宋体" w:cs="宋体"/>
          <w:sz w:val="24"/>
          <w:szCs w:val="24"/>
        </w:rPr>
        <w:t>本项目采用经评审最低投标价中标的办法评标</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经评审的最低投标价格的投标人确定为中标候选人</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中标候选人将在本公司网站上公示三天，无异议后转为中标人</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中标人需在5天内签订购销合同。</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9</w:t>
      </w:r>
      <w:r>
        <w:rPr>
          <w:rFonts w:hint="eastAsia" w:ascii="Times New Roman" w:hAnsi="Times New Roman" w:eastAsia="宋体" w:cs="宋体"/>
          <w:sz w:val="24"/>
          <w:szCs w:val="24"/>
        </w:rPr>
        <w:t>.2本次采购有可能存在非独家中标单位情况。</w:t>
      </w:r>
    </w:p>
    <w:p>
      <w:pPr>
        <w:spacing w:line="440" w:lineRule="exact"/>
        <w:ind w:firstLine="482" w:firstLineChars="200"/>
        <w:rPr>
          <w:rFonts w:hint="eastAsia" w:ascii="Times New Roman" w:hAnsi="Times New Roman" w:eastAsia="宋体" w:cs="宋体"/>
          <w:sz w:val="24"/>
          <w:szCs w:val="24"/>
        </w:rPr>
      </w:pPr>
      <w:r>
        <w:rPr>
          <w:rFonts w:hint="eastAsia" w:ascii="Times New Roman" w:hAnsi="Times New Roman" w:eastAsia="宋体" w:cs="宋体"/>
          <w:b/>
          <w:sz w:val="24"/>
          <w:szCs w:val="24"/>
          <w:lang w:val="en-US" w:eastAsia="zh-CN"/>
        </w:rPr>
        <w:t>10</w:t>
      </w:r>
      <w:r>
        <w:rPr>
          <w:rFonts w:hint="eastAsia" w:ascii="Times New Roman" w:hAnsi="Times New Roman" w:eastAsia="宋体" w:cs="宋体"/>
          <w:b/>
          <w:sz w:val="24"/>
          <w:szCs w:val="24"/>
        </w:rPr>
        <w:t>.</w:t>
      </w:r>
      <w:r>
        <w:rPr>
          <w:rFonts w:hint="eastAsia" w:ascii="Times New Roman" w:hAnsi="Times New Roman" w:eastAsia="宋体" w:cs="宋体"/>
          <w:b/>
          <w:sz w:val="24"/>
          <w:szCs w:val="24"/>
        </w:rPr>
        <w:t>开标时间、地点及参与方式</w:t>
      </w:r>
      <w:r>
        <w:rPr>
          <w:rFonts w:hint="eastAsia" w:ascii="Times New Roman" w:hAnsi="Times New Roman" w:eastAsia="宋体" w:cs="宋体"/>
          <w:sz w:val="24"/>
          <w:szCs w:val="24"/>
        </w:rPr>
        <w:t>：</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10</w:t>
      </w:r>
      <w:r>
        <w:rPr>
          <w:rFonts w:hint="eastAsia" w:ascii="Times New Roman" w:hAnsi="Times New Roman" w:eastAsia="宋体" w:cs="宋体"/>
          <w:sz w:val="24"/>
          <w:szCs w:val="24"/>
        </w:rPr>
        <w:t>.1</w:t>
      </w:r>
      <w:r>
        <w:rPr>
          <w:rFonts w:hint="eastAsia" w:ascii="Times New Roman" w:hAnsi="Times New Roman" w:eastAsia="宋体" w:cs="宋体"/>
          <w:sz w:val="24"/>
          <w:szCs w:val="24"/>
        </w:rPr>
        <w:t>开标时间、地点：</w:t>
      </w:r>
      <w:r>
        <w:rPr>
          <w:rFonts w:hint="eastAsia" w:ascii="Times New Roman" w:hAnsi="Times New Roman" w:eastAsia="宋体" w:cs="宋体"/>
          <w:sz w:val="24"/>
          <w:szCs w:val="24"/>
        </w:rPr>
        <w:t>202</w:t>
      </w: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年</w:t>
      </w:r>
      <w:r>
        <w:rPr>
          <w:rFonts w:hint="eastAsia" w:ascii="Times New Roman" w:hAnsi="Times New Roman" w:eastAsia="宋体" w:cs="宋体"/>
          <w:sz w:val="24"/>
          <w:szCs w:val="24"/>
          <w:lang w:val="en-US" w:eastAsia="zh-CN"/>
        </w:rPr>
        <w:t>7</w:t>
      </w:r>
      <w:r>
        <w:rPr>
          <w:rFonts w:hint="eastAsia" w:ascii="Times New Roman" w:hAnsi="Times New Roman" w:eastAsia="宋体" w:cs="宋体"/>
          <w:sz w:val="24"/>
          <w:szCs w:val="24"/>
        </w:rPr>
        <w:t>月</w:t>
      </w:r>
      <w:r>
        <w:rPr>
          <w:rFonts w:hint="eastAsia" w:ascii="Times New Roman" w:hAnsi="Times New Roman" w:eastAsia="宋体" w:cs="宋体"/>
          <w:sz w:val="24"/>
          <w:szCs w:val="24"/>
          <w:lang w:val="en-US" w:eastAsia="zh-CN"/>
        </w:rPr>
        <w:t>27</w:t>
      </w:r>
      <w:r>
        <w:rPr>
          <w:rFonts w:hint="eastAsia" w:ascii="Times New Roman" w:hAnsi="Times New Roman" w:eastAsia="宋体" w:cs="宋体"/>
          <w:sz w:val="24"/>
          <w:szCs w:val="24"/>
        </w:rPr>
        <w:t>日</w:t>
      </w:r>
      <w:r>
        <w:rPr>
          <w:rFonts w:hint="eastAsia" w:ascii="Times New Roman" w:hAnsi="Times New Roman" w:eastAsia="宋体" w:cs="宋体"/>
          <w:sz w:val="24"/>
          <w:szCs w:val="24"/>
        </w:rPr>
        <w:t>1</w:t>
      </w:r>
      <w:r>
        <w:rPr>
          <w:rFonts w:hint="eastAsia" w:ascii="Times New Roman" w:hAnsi="Times New Roman" w:eastAsia="宋体" w:cs="宋体"/>
          <w:sz w:val="24"/>
          <w:szCs w:val="24"/>
          <w:lang w:val="en-US" w:eastAsia="zh-CN"/>
        </w:rPr>
        <w:t>0:3</w:t>
      </w:r>
      <w:r>
        <w:rPr>
          <w:rFonts w:hint="eastAsia" w:ascii="Times New Roman" w:hAnsi="Times New Roman" w:eastAsia="宋体" w:cs="宋体"/>
          <w:sz w:val="24"/>
          <w:szCs w:val="24"/>
        </w:rPr>
        <w:t>0</w:t>
      </w:r>
      <w:r>
        <w:rPr>
          <w:rFonts w:hint="eastAsia" w:ascii="Times New Roman" w:hAnsi="Times New Roman" w:eastAsia="宋体" w:cs="宋体"/>
          <w:sz w:val="24"/>
          <w:szCs w:val="24"/>
        </w:rPr>
        <w:t>时（北京时间）在青山纸业文化楼</w:t>
      </w:r>
      <w:r>
        <w:rPr>
          <w:rFonts w:hint="eastAsia" w:ascii="Times New Roman" w:hAnsi="Times New Roman" w:eastAsia="宋体" w:cs="宋体"/>
          <w:sz w:val="24"/>
          <w:szCs w:val="24"/>
        </w:rPr>
        <w:t>4</w:t>
      </w:r>
      <w:r>
        <w:rPr>
          <w:rFonts w:hint="eastAsia" w:ascii="Times New Roman" w:hAnsi="Times New Roman" w:eastAsia="宋体" w:cs="宋体"/>
          <w:sz w:val="24"/>
          <w:szCs w:val="24"/>
        </w:rPr>
        <w:t>楼招标办会议室公开开标。</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10</w:t>
      </w:r>
      <w:r>
        <w:rPr>
          <w:rFonts w:hint="eastAsia" w:ascii="Times New Roman" w:hAnsi="Times New Roman" w:eastAsia="宋体" w:cs="宋体"/>
          <w:sz w:val="24"/>
          <w:szCs w:val="24"/>
        </w:rPr>
        <w:t>.2</w:t>
      </w:r>
      <w:r>
        <w:rPr>
          <w:rFonts w:hint="eastAsia" w:ascii="Times New Roman" w:hAnsi="Times New Roman" w:eastAsia="宋体" w:cs="宋体"/>
          <w:sz w:val="24"/>
          <w:szCs w:val="24"/>
        </w:rPr>
        <w:t>参与方式：</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以下三种参与方式投标人可任选一种</w:t>
      </w:r>
      <w:r>
        <w:rPr>
          <w:rFonts w:hint="eastAsia" w:ascii="Times New Roman" w:hAnsi="Times New Roman" w:eastAsia="宋体" w:cs="宋体"/>
          <w:sz w:val="24"/>
          <w:szCs w:val="24"/>
          <w:lang w:eastAsia="zh-CN"/>
        </w:rPr>
        <w:t>）</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10</w:t>
      </w:r>
      <w:r>
        <w:rPr>
          <w:rFonts w:hint="eastAsia" w:ascii="Times New Roman" w:hAnsi="Times New Roman" w:eastAsia="宋体" w:cs="宋体"/>
          <w:sz w:val="24"/>
          <w:szCs w:val="24"/>
        </w:rPr>
        <w:t>.2.1现场：参与现场投标的，投标人应于开标之前将投标文件送至青山纸业文化楼4楼招标办会议室。</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10</w:t>
      </w:r>
      <w:r>
        <w:rPr>
          <w:rFonts w:hint="eastAsia" w:ascii="Times New Roman" w:hAnsi="Times New Roman" w:eastAsia="宋体" w:cs="宋体"/>
          <w:sz w:val="24"/>
          <w:szCs w:val="24"/>
        </w:rPr>
        <w:t>.2.2邮寄：以邮寄投标文件方式参与投标的，投标文件应于开标之前寄达，快递单上须注明投标单位名称和参与的招标编号，建议选用邮政EMS或顺丰快递，开标之前为确保寄达，应事先与我司招标办确认。（邮寄地址：福建省沙县青州镇，单位名称：福建省青山纸业股份有限公司招标办，收件人：刘玲，联系电话：0598-5658595,招标人拒绝接受邮寄到其他收件人的邮件。）</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10</w:t>
      </w:r>
      <w:r>
        <w:rPr>
          <w:rFonts w:hint="eastAsia" w:ascii="Times New Roman" w:hAnsi="Times New Roman" w:eastAsia="宋体" w:cs="宋体"/>
          <w:sz w:val="24"/>
          <w:szCs w:val="24"/>
        </w:rPr>
        <w:t>.2.3网络：在阿里平台1688采购门户网址</w:t>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HYPERLINK "https://fjqszy.go.1688.com" </w:instrText>
      </w:r>
      <w:r>
        <w:rPr>
          <w:rFonts w:hint="eastAsia" w:ascii="Times New Roman" w:hAnsi="Times New Roman" w:eastAsia="宋体" w:cs="宋体"/>
          <w:sz w:val="24"/>
          <w:szCs w:val="24"/>
        </w:rPr>
        <w:fldChar w:fldCharType="separate"/>
      </w:r>
      <w:r>
        <w:rPr>
          <w:rStyle w:val="11"/>
          <w:rFonts w:hint="eastAsia" w:ascii="Times New Roman" w:hAnsi="Times New Roman" w:eastAsia="宋体" w:cs="宋体"/>
          <w:sz w:val="24"/>
          <w:szCs w:val="24"/>
        </w:rPr>
        <w:t>https://fjqszy.go.1688.com</w:t>
      </w:r>
      <w:r>
        <w:rPr>
          <w:rFonts w:hint="eastAsia" w:ascii="Times New Roman" w:hAnsi="Times New Roman" w:eastAsia="宋体" w:cs="宋体"/>
          <w:sz w:val="24"/>
          <w:szCs w:val="24"/>
        </w:rPr>
        <w:fldChar w:fldCharType="end"/>
      </w:r>
      <w:r>
        <w:rPr>
          <w:rFonts w:hint="eastAsia" w:ascii="Times New Roman" w:hAnsi="Times New Roman" w:eastAsia="宋体" w:cs="宋体"/>
          <w:sz w:val="24"/>
          <w:szCs w:val="24"/>
        </w:rPr>
        <w:t>上参与投标的，应按招标文件的要求制作投标文件后扫描上传至1688采购平台，投标保证金凭证、资格文件、技术文件、商务文件分别扫描上传。</w:t>
      </w:r>
    </w:p>
    <w:p>
      <w:pPr>
        <w:spacing w:line="440" w:lineRule="exact"/>
        <w:ind w:firstLine="482" w:firstLineChars="200"/>
        <w:rPr>
          <w:rFonts w:hint="eastAsia" w:ascii="Times New Roman" w:hAnsi="Times New Roman" w:eastAsia="宋体" w:cs="宋体"/>
          <w:b/>
          <w:sz w:val="24"/>
          <w:szCs w:val="24"/>
        </w:rPr>
      </w:pPr>
      <w:r>
        <w:rPr>
          <w:rFonts w:hint="eastAsia" w:ascii="Times New Roman" w:hAnsi="Times New Roman" w:eastAsia="宋体" w:cs="宋体"/>
          <w:b/>
          <w:sz w:val="24"/>
          <w:szCs w:val="24"/>
          <w:lang w:val="en-US" w:eastAsia="zh-CN"/>
        </w:rPr>
        <w:t>11</w:t>
      </w:r>
      <w:r>
        <w:rPr>
          <w:rFonts w:hint="eastAsia" w:ascii="Times New Roman" w:hAnsi="Times New Roman" w:eastAsia="宋体" w:cs="宋体"/>
          <w:b/>
          <w:sz w:val="24"/>
          <w:szCs w:val="24"/>
        </w:rPr>
        <w:t>.</w:t>
      </w:r>
      <w:r>
        <w:rPr>
          <w:rFonts w:hint="eastAsia" w:ascii="Times New Roman" w:hAnsi="Times New Roman" w:eastAsia="宋体" w:cs="宋体"/>
          <w:b/>
          <w:sz w:val="24"/>
          <w:szCs w:val="24"/>
        </w:rPr>
        <w:t>投标及履约保证金</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.1</w:t>
      </w:r>
      <w:r>
        <w:rPr>
          <w:rFonts w:hint="eastAsia" w:ascii="Times New Roman" w:hAnsi="Times New Roman" w:eastAsia="宋体" w:cs="宋体"/>
          <w:sz w:val="24"/>
          <w:szCs w:val="24"/>
        </w:rPr>
        <w:t>投标人应在开标时间之前缴交投标保证金</w:t>
      </w:r>
      <w:r>
        <w:rPr>
          <w:rFonts w:hint="eastAsia" w:ascii="Times New Roman" w:hAnsi="Times New Roman" w:eastAsia="宋体" w:cs="宋体"/>
          <w:sz w:val="24"/>
          <w:szCs w:val="24"/>
          <w:lang w:val="en-US" w:eastAsia="zh-CN"/>
        </w:rPr>
        <w:t>10万</w:t>
      </w:r>
      <w:r>
        <w:rPr>
          <w:rFonts w:hint="eastAsia" w:ascii="Times New Roman" w:hAnsi="Times New Roman" w:eastAsia="宋体" w:cs="宋体"/>
          <w:sz w:val="24"/>
          <w:szCs w:val="24"/>
        </w:rPr>
        <w:t>元。</w:t>
      </w:r>
    </w:p>
    <w:p>
      <w:pPr>
        <w:spacing w:line="440" w:lineRule="exact"/>
        <w:ind w:firstLine="480" w:firstLineChars="200"/>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.2</w:t>
      </w:r>
      <w:r>
        <w:rPr>
          <w:rFonts w:hint="eastAsia" w:ascii="Times New Roman" w:hAnsi="Times New Roman" w:eastAsia="宋体" w:cs="宋体"/>
          <w:sz w:val="24"/>
          <w:szCs w:val="24"/>
        </w:rPr>
        <w:t>投标保证金任选如下一种形式提交：</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.2.1</w:t>
      </w:r>
      <w:r>
        <w:rPr>
          <w:rFonts w:hint="eastAsia" w:ascii="Times New Roman" w:hAnsi="Times New Roman" w:eastAsia="宋体" w:cs="宋体"/>
          <w:sz w:val="24"/>
          <w:szCs w:val="24"/>
        </w:rPr>
        <w:t>银行电汇；（开户银行：工商银行沙县青州支行、账户名：福建省青山纸业股份有限公司、账号：</w:t>
      </w:r>
      <w:r>
        <w:rPr>
          <w:rFonts w:hint="eastAsia" w:ascii="Times New Roman" w:hAnsi="Times New Roman" w:eastAsia="宋体" w:cs="宋体"/>
          <w:sz w:val="24"/>
          <w:szCs w:val="24"/>
        </w:rPr>
        <w:t>1404049409001000160</w:t>
      </w:r>
      <w:r>
        <w:rPr>
          <w:rFonts w:hint="eastAsia" w:ascii="Times New Roman" w:hAnsi="Times New Roman" w:eastAsia="宋体" w:cs="宋体"/>
          <w:sz w:val="24"/>
          <w:szCs w:val="24"/>
        </w:rPr>
        <w:t>。</w:t>
      </w:r>
      <w:r>
        <w:rPr>
          <w:rFonts w:hint="eastAsia" w:ascii="Times New Roman" w:hAnsi="Times New Roman" w:eastAsia="宋体" w:cs="宋体"/>
          <w:sz w:val="24"/>
          <w:szCs w:val="24"/>
          <w:lang w:eastAsia="zh-CN"/>
        </w:rPr>
        <w:t>公对公转账，</w:t>
      </w:r>
      <w:r>
        <w:rPr>
          <w:rFonts w:hint="eastAsia" w:ascii="Times New Roman" w:hAnsi="Times New Roman" w:eastAsia="宋体" w:cs="宋体"/>
          <w:sz w:val="24"/>
          <w:szCs w:val="24"/>
        </w:rPr>
        <w:t>须注明参与的招标编号）。</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.2.2</w:t>
      </w:r>
      <w:r>
        <w:rPr>
          <w:rFonts w:hint="eastAsia" w:ascii="Times New Roman" w:hAnsi="Times New Roman" w:eastAsia="宋体" w:cs="宋体"/>
          <w:sz w:val="24"/>
          <w:szCs w:val="24"/>
        </w:rPr>
        <w:t>投标保证金函；若本公司与投标人尚有已结</w:t>
      </w:r>
      <w:r>
        <w:rPr>
          <w:rFonts w:hint="eastAsia" w:ascii="Times New Roman" w:hAnsi="Times New Roman" w:eastAsia="宋体" w:cs="宋体"/>
          <w:sz w:val="24"/>
          <w:szCs w:val="24"/>
          <w:lang w:eastAsia="zh-CN"/>
        </w:rPr>
        <w:t>未付款项</w:t>
      </w:r>
      <w:r>
        <w:rPr>
          <w:rFonts w:hint="eastAsia" w:ascii="Times New Roman" w:hAnsi="Times New Roman" w:eastAsia="宋体" w:cs="宋体"/>
          <w:sz w:val="24"/>
          <w:szCs w:val="24"/>
        </w:rPr>
        <w:t>（各类未到期的保证金除外）且数额足够抵扣投标保证金时，投标人可出具正式公函明确要求本公司从其未结</w:t>
      </w:r>
      <w:r>
        <w:rPr>
          <w:rFonts w:hint="eastAsia" w:ascii="Times New Roman" w:hAnsi="Times New Roman" w:eastAsia="宋体" w:cs="宋体"/>
          <w:sz w:val="24"/>
          <w:szCs w:val="24"/>
          <w:lang w:eastAsia="zh-CN"/>
        </w:rPr>
        <w:t>款项</w:t>
      </w:r>
      <w:r>
        <w:rPr>
          <w:rFonts w:hint="eastAsia" w:ascii="Times New Roman" w:hAnsi="Times New Roman" w:eastAsia="宋体" w:cs="宋体"/>
          <w:sz w:val="24"/>
          <w:szCs w:val="24"/>
        </w:rPr>
        <w:t>中转扣</w:t>
      </w:r>
      <w:r>
        <w:rPr>
          <w:rFonts w:hint="eastAsia" w:ascii="Times New Roman" w:hAnsi="Times New Roman" w:eastAsia="宋体" w:cs="宋体"/>
          <w:sz w:val="24"/>
          <w:szCs w:val="24"/>
        </w:rPr>
        <w:t>,</w:t>
      </w:r>
      <w:r>
        <w:rPr>
          <w:rFonts w:hint="eastAsia" w:ascii="Times New Roman" w:hAnsi="Times New Roman" w:eastAsia="宋体" w:cs="宋体"/>
          <w:sz w:val="24"/>
          <w:szCs w:val="24"/>
        </w:rPr>
        <w:t>但应在开标前得到本公司财务的确认。投标保证金函</w:t>
      </w:r>
      <w:r>
        <w:rPr>
          <w:rFonts w:hint="eastAsia" w:ascii="Times New Roman" w:hAnsi="Times New Roman" w:eastAsia="宋体" w:cs="宋体"/>
          <w:sz w:val="24"/>
          <w:szCs w:val="24"/>
          <w:lang w:eastAsia="zh-CN"/>
        </w:rPr>
        <w:t>格式见附件</w:t>
      </w:r>
      <w:r>
        <w:rPr>
          <w:rFonts w:hint="eastAsia" w:ascii="Times New Roman" w:hAnsi="Times New Roman" w:eastAsia="宋体" w:cs="宋体"/>
          <w:sz w:val="24"/>
          <w:szCs w:val="24"/>
          <w:lang w:val="en-US" w:eastAsia="zh-CN"/>
        </w:rPr>
        <w:t>1</w:t>
      </w:r>
      <w:r>
        <w:rPr>
          <w:rFonts w:hint="eastAsia" w:ascii="Times New Roman" w:hAnsi="Times New Roman" w:eastAsia="宋体" w:cs="宋体"/>
          <w:sz w:val="24"/>
          <w:szCs w:val="24"/>
        </w:rPr>
        <w:t>。</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.3</w:t>
      </w:r>
      <w:r>
        <w:rPr>
          <w:rFonts w:hint="eastAsia" w:ascii="Times New Roman" w:hAnsi="Times New Roman" w:eastAsia="宋体" w:cs="宋体"/>
          <w:sz w:val="24"/>
          <w:szCs w:val="24"/>
        </w:rPr>
        <w:t>对于未能按规定提交投标保证金的投标，将被视为不响应招标文件而予以拒绝。</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.4</w:t>
      </w:r>
      <w:r>
        <w:rPr>
          <w:rFonts w:hint="eastAsia" w:ascii="Times New Roman" w:hAnsi="Times New Roman" w:eastAsia="宋体" w:cs="宋体"/>
          <w:sz w:val="24"/>
          <w:szCs w:val="24"/>
        </w:rPr>
        <w:t>未中标的投标人的投标保证金，以电汇形式的将在一星期内退还；以未结货款转抵形式的将转回未结货款并按正常渠道结算。</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.5</w:t>
      </w:r>
      <w:r>
        <w:rPr>
          <w:rFonts w:hint="eastAsia" w:ascii="Times New Roman" w:hAnsi="Times New Roman" w:eastAsia="宋体" w:cs="宋体"/>
          <w:sz w:val="24"/>
          <w:szCs w:val="24"/>
        </w:rPr>
        <w:t>中标的投标人的投标保证金，将在中标人签订合同时转为履约保证金，合同按时履行完毕后予以原额退还，以未结货款转抵形式的将转回未结货款并按正常渠道结算。</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.6</w:t>
      </w:r>
      <w:r>
        <w:rPr>
          <w:rFonts w:hint="eastAsia" w:ascii="Times New Roman" w:hAnsi="Times New Roman" w:eastAsia="宋体" w:cs="宋体"/>
          <w:sz w:val="24"/>
          <w:szCs w:val="24"/>
        </w:rPr>
        <w:t>如投标人有下列情况发生时，其投标保证金将被不予退还：</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.6.1</w:t>
      </w:r>
      <w:r>
        <w:rPr>
          <w:rFonts w:hint="eastAsia" w:ascii="Times New Roman" w:hAnsi="Times New Roman" w:eastAsia="宋体" w:cs="宋体"/>
          <w:sz w:val="24"/>
          <w:szCs w:val="24"/>
        </w:rPr>
        <w:t>投标人在投标有效期内撤回投标的；</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.6.2</w:t>
      </w:r>
      <w:r>
        <w:rPr>
          <w:rFonts w:hint="eastAsia" w:ascii="Times New Roman" w:hAnsi="Times New Roman" w:eastAsia="宋体" w:cs="宋体"/>
          <w:sz w:val="24"/>
          <w:szCs w:val="24"/>
        </w:rPr>
        <w:t>成为中标人后</w:t>
      </w:r>
      <w:r>
        <w:rPr>
          <w:rFonts w:hint="eastAsia" w:ascii="Times New Roman" w:hAnsi="Times New Roman" w:eastAsia="宋体" w:cs="宋体"/>
          <w:sz w:val="24"/>
          <w:szCs w:val="24"/>
        </w:rPr>
        <w:t>5</w:t>
      </w:r>
      <w:r>
        <w:rPr>
          <w:rFonts w:hint="eastAsia" w:ascii="Times New Roman" w:hAnsi="Times New Roman" w:eastAsia="宋体" w:cs="宋体"/>
          <w:sz w:val="24"/>
          <w:szCs w:val="24"/>
        </w:rPr>
        <w:t>日内，因中标方原因无法签订合同的；</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.6.3</w:t>
      </w:r>
      <w:r>
        <w:rPr>
          <w:rFonts w:hint="eastAsia" w:ascii="Times New Roman" w:hAnsi="Times New Roman" w:eastAsia="宋体" w:cs="宋体"/>
          <w:sz w:val="24"/>
          <w:szCs w:val="24"/>
        </w:rPr>
        <w:t>中标方在签订合同过程中，临时增加对我司不利的条款或减免中标方在投标文件或投标过程中承诺的条款；</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11</w:t>
      </w:r>
      <w:r>
        <w:rPr>
          <w:rFonts w:hint="eastAsia" w:ascii="Times New Roman" w:hAnsi="Times New Roman" w:eastAsia="宋体" w:cs="宋体"/>
          <w:sz w:val="24"/>
          <w:szCs w:val="24"/>
        </w:rPr>
        <w:t>.6.4</w:t>
      </w:r>
      <w:r>
        <w:rPr>
          <w:rFonts w:hint="eastAsia" w:ascii="Times New Roman" w:hAnsi="Times New Roman" w:eastAsia="宋体" w:cs="宋体"/>
          <w:sz w:val="24"/>
          <w:szCs w:val="24"/>
        </w:rPr>
        <w:t>其他违反法律规定的。</w:t>
      </w:r>
    </w:p>
    <w:p>
      <w:pPr>
        <w:spacing w:line="440" w:lineRule="exact"/>
        <w:ind w:firstLine="482" w:firstLineChars="200"/>
        <w:rPr>
          <w:rFonts w:hint="eastAsia" w:ascii="Times New Roman" w:hAnsi="Times New Roman" w:eastAsia="宋体" w:cs="宋体"/>
          <w:sz w:val="24"/>
          <w:szCs w:val="24"/>
        </w:rPr>
      </w:pPr>
      <w:r>
        <w:rPr>
          <w:rFonts w:hint="eastAsia" w:ascii="Times New Roman" w:hAnsi="Times New Roman" w:eastAsia="宋体" w:cs="宋体"/>
          <w:b/>
          <w:sz w:val="24"/>
          <w:szCs w:val="24"/>
          <w:lang w:val="en-US" w:eastAsia="zh-CN"/>
        </w:rPr>
        <w:t>12</w:t>
      </w:r>
      <w:r>
        <w:rPr>
          <w:rFonts w:hint="eastAsia" w:ascii="Times New Roman" w:hAnsi="Times New Roman" w:eastAsia="宋体" w:cs="宋体"/>
          <w:b/>
          <w:sz w:val="24"/>
          <w:szCs w:val="24"/>
        </w:rPr>
        <w:t>.</w:t>
      </w:r>
      <w:r>
        <w:rPr>
          <w:rFonts w:hint="eastAsia" w:ascii="Times New Roman" w:hAnsi="Times New Roman" w:eastAsia="宋体" w:cs="宋体"/>
          <w:b/>
          <w:sz w:val="24"/>
          <w:szCs w:val="24"/>
        </w:rPr>
        <w:t>投标文件要求</w:t>
      </w:r>
      <w:r>
        <w:rPr>
          <w:rFonts w:hint="eastAsia" w:ascii="Times New Roman" w:hAnsi="Times New Roman" w:eastAsia="宋体" w:cs="宋体"/>
          <w:sz w:val="24"/>
          <w:szCs w:val="24"/>
        </w:rPr>
        <w:t>（内容均须加盖公章）</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12</w:t>
      </w:r>
      <w:r>
        <w:rPr>
          <w:rFonts w:hint="eastAsia" w:ascii="Times New Roman" w:hAnsi="Times New Roman" w:eastAsia="宋体" w:cs="宋体"/>
          <w:sz w:val="24"/>
          <w:szCs w:val="24"/>
        </w:rPr>
        <w:t>.1</w:t>
      </w:r>
      <w:r>
        <w:rPr>
          <w:rFonts w:hint="eastAsia" w:ascii="Times New Roman" w:hAnsi="Times New Roman" w:eastAsia="宋体" w:cs="宋体"/>
          <w:sz w:val="24"/>
          <w:szCs w:val="24"/>
        </w:rPr>
        <w:t>投标文件分成</w:t>
      </w:r>
      <w:r>
        <w:rPr>
          <w:rFonts w:hint="eastAsia" w:ascii="Times New Roman" w:hAnsi="Times New Roman" w:eastAsia="宋体" w:cs="宋体"/>
          <w:sz w:val="24"/>
          <w:szCs w:val="24"/>
          <w:lang w:eastAsia="zh-CN"/>
        </w:rPr>
        <w:t>四</w:t>
      </w:r>
      <w:r>
        <w:rPr>
          <w:rFonts w:hint="eastAsia" w:ascii="Times New Roman" w:hAnsi="Times New Roman" w:eastAsia="宋体" w:cs="宋体"/>
          <w:sz w:val="24"/>
          <w:szCs w:val="24"/>
        </w:rPr>
        <w:t>部分，每部分应分开密封装订：第一部分为</w:t>
      </w:r>
      <w:r>
        <w:rPr>
          <w:rFonts w:hint="eastAsia" w:ascii="Times New Roman" w:hAnsi="Times New Roman" w:eastAsia="宋体" w:cs="宋体"/>
          <w:sz w:val="24"/>
          <w:szCs w:val="24"/>
          <w:lang w:eastAsia="zh-CN"/>
        </w:rPr>
        <w:t>投标保证金凭证</w:t>
      </w:r>
      <w:r>
        <w:rPr>
          <w:rFonts w:hint="eastAsia" w:ascii="Times New Roman" w:hAnsi="Times New Roman" w:eastAsia="宋体" w:cs="宋体"/>
          <w:sz w:val="24"/>
          <w:szCs w:val="24"/>
        </w:rPr>
        <w:t>，第</w:t>
      </w:r>
      <w:r>
        <w:rPr>
          <w:rFonts w:hint="eastAsia" w:ascii="Times New Roman" w:hAnsi="Times New Roman" w:eastAsia="宋体" w:cs="宋体"/>
          <w:sz w:val="24"/>
          <w:szCs w:val="24"/>
          <w:lang w:eastAsia="zh-CN"/>
        </w:rPr>
        <w:t>二</w:t>
      </w:r>
      <w:r>
        <w:rPr>
          <w:rFonts w:hint="eastAsia" w:ascii="Times New Roman" w:hAnsi="Times New Roman" w:eastAsia="宋体" w:cs="宋体"/>
          <w:sz w:val="24"/>
          <w:szCs w:val="24"/>
        </w:rPr>
        <w:t>部分为资格文件，第</w:t>
      </w:r>
      <w:r>
        <w:rPr>
          <w:rFonts w:hint="eastAsia" w:ascii="Times New Roman" w:hAnsi="Times New Roman" w:eastAsia="宋体" w:cs="宋体"/>
          <w:sz w:val="24"/>
          <w:szCs w:val="24"/>
          <w:lang w:eastAsia="zh-CN"/>
        </w:rPr>
        <w:t>三</w:t>
      </w:r>
      <w:r>
        <w:rPr>
          <w:rFonts w:hint="eastAsia" w:ascii="Times New Roman" w:hAnsi="Times New Roman" w:eastAsia="宋体" w:cs="宋体"/>
          <w:sz w:val="24"/>
          <w:szCs w:val="24"/>
        </w:rPr>
        <w:t>部分为技术文件，第</w:t>
      </w:r>
      <w:r>
        <w:rPr>
          <w:rFonts w:hint="eastAsia" w:ascii="Times New Roman" w:hAnsi="Times New Roman" w:eastAsia="宋体" w:cs="宋体"/>
          <w:sz w:val="24"/>
          <w:szCs w:val="24"/>
          <w:lang w:eastAsia="zh-CN"/>
        </w:rPr>
        <w:t>四</w:t>
      </w:r>
      <w:r>
        <w:rPr>
          <w:rFonts w:hint="eastAsia" w:ascii="Times New Roman" w:hAnsi="Times New Roman" w:eastAsia="宋体" w:cs="宋体"/>
          <w:sz w:val="24"/>
          <w:szCs w:val="24"/>
        </w:rPr>
        <w:t>部分为商务文件。</w:t>
      </w:r>
    </w:p>
    <w:p>
      <w:pPr>
        <w:spacing w:line="440" w:lineRule="exact"/>
        <w:ind w:firstLine="480" w:firstLineChars="200"/>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12.1.1投标保证金凭证：银行电汇回单或投标保证金函。</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12</w:t>
      </w:r>
      <w:r>
        <w:rPr>
          <w:rFonts w:hint="eastAsia" w:ascii="Times New Roman" w:hAnsi="Times New Roman" w:eastAsia="宋体" w:cs="宋体"/>
          <w:sz w:val="24"/>
          <w:szCs w:val="24"/>
        </w:rPr>
        <w:t>.</w:t>
      </w:r>
      <w:r>
        <w:rPr>
          <w:rFonts w:hint="eastAsia" w:ascii="Times New Roman" w:hAnsi="Times New Roman" w:eastAsia="宋体" w:cs="宋体"/>
          <w:sz w:val="24"/>
          <w:szCs w:val="24"/>
          <w:lang w:val="en-US" w:eastAsia="zh-CN"/>
        </w:rPr>
        <w:t>1.</w:t>
      </w:r>
      <w:r>
        <w:rPr>
          <w:rFonts w:hint="eastAsia" w:ascii="Times New Roman" w:hAnsi="Times New Roman" w:eastAsia="宋体" w:cs="宋体"/>
          <w:sz w:val="24"/>
          <w:szCs w:val="24"/>
        </w:rPr>
        <w:t>2</w:t>
      </w:r>
      <w:r>
        <w:rPr>
          <w:rFonts w:hint="eastAsia" w:ascii="Times New Roman" w:hAnsi="Times New Roman" w:eastAsia="宋体" w:cs="宋体"/>
          <w:sz w:val="24"/>
          <w:szCs w:val="24"/>
        </w:rPr>
        <w:t>资格文件编制一式一份，主要内容为详细的投标人资料，包括：</w:t>
      </w:r>
      <w:r>
        <w:rPr>
          <w:rFonts w:hint="eastAsia" w:ascii="Times New Roman" w:hAnsi="Times New Roman" w:eastAsia="宋体" w:cs="宋体"/>
          <w:sz w:val="24"/>
          <w:szCs w:val="24"/>
        </w:rPr>
        <w:t>a.</w:t>
      </w:r>
      <w:r>
        <w:rPr>
          <w:rFonts w:hint="eastAsia" w:ascii="Times New Roman" w:hAnsi="Times New Roman" w:eastAsia="宋体" w:cs="宋体"/>
          <w:sz w:val="24"/>
          <w:szCs w:val="24"/>
        </w:rPr>
        <w:t>三证合一的《营业执照》；</w:t>
      </w:r>
      <w:r>
        <w:rPr>
          <w:rFonts w:hint="eastAsia" w:ascii="Times New Roman" w:hAnsi="Times New Roman" w:eastAsia="宋体" w:cs="宋体"/>
          <w:sz w:val="24"/>
          <w:szCs w:val="24"/>
        </w:rPr>
        <w:t>b.</w:t>
      </w:r>
      <w:r>
        <w:rPr>
          <w:rFonts w:hint="eastAsia" w:ascii="Times New Roman" w:hAnsi="Times New Roman" w:eastAsia="宋体" w:cs="宋体"/>
          <w:sz w:val="24"/>
          <w:szCs w:val="24"/>
        </w:rPr>
        <w:t>第</w:t>
      </w:r>
      <w:r>
        <w:rPr>
          <w:rFonts w:hint="eastAsia" w:ascii="Times New Roman" w:hAnsi="Times New Roman" w:eastAsia="宋体" w:cs="宋体"/>
          <w:sz w:val="24"/>
          <w:szCs w:val="24"/>
          <w:lang w:val="en-US" w:eastAsia="zh-CN"/>
        </w:rPr>
        <w:t>5</w:t>
      </w:r>
      <w:r>
        <w:rPr>
          <w:rFonts w:hint="eastAsia" w:ascii="Times New Roman" w:hAnsi="Times New Roman" w:eastAsia="宋体" w:cs="宋体"/>
          <w:sz w:val="24"/>
          <w:szCs w:val="24"/>
        </w:rPr>
        <w:t>条对投标人资格要求的相应证明资料；</w:t>
      </w:r>
      <w:r>
        <w:rPr>
          <w:rFonts w:hint="eastAsia" w:ascii="Times New Roman" w:hAnsi="Times New Roman" w:eastAsia="宋体" w:cs="宋体"/>
          <w:sz w:val="24"/>
          <w:szCs w:val="24"/>
        </w:rPr>
        <w:t>c.</w:t>
      </w:r>
      <w:r>
        <w:rPr>
          <w:rFonts w:hint="eastAsia" w:ascii="Times New Roman" w:hAnsi="Times New Roman" w:eastAsia="宋体" w:cs="宋体"/>
          <w:sz w:val="24"/>
          <w:szCs w:val="24"/>
        </w:rPr>
        <w:t>非法定代表人参与投标的需提供法定代表人授权书（授权书格式见附件</w:t>
      </w:r>
      <w:r>
        <w:rPr>
          <w:rFonts w:hint="eastAsia" w:ascii="Times New Roman" w:hAnsi="Times New Roman" w:eastAsia="宋体" w:cs="宋体"/>
          <w:sz w:val="24"/>
          <w:szCs w:val="24"/>
          <w:lang w:val="en-US" w:eastAsia="zh-CN"/>
        </w:rPr>
        <w:t>2</w:t>
      </w:r>
      <w:r>
        <w:rPr>
          <w:rFonts w:hint="eastAsia" w:ascii="Times New Roman" w:hAnsi="Times New Roman" w:eastAsia="宋体" w:cs="宋体"/>
          <w:sz w:val="24"/>
          <w:szCs w:val="24"/>
        </w:rPr>
        <w:t>）；</w:t>
      </w:r>
      <w:r>
        <w:rPr>
          <w:rFonts w:hint="eastAsia" w:ascii="Times New Roman" w:hAnsi="Times New Roman" w:eastAsia="宋体" w:cs="宋体"/>
          <w:sz w:val="24"/>
          <w:szCs w:val="24"/>
        </w:rPr>
        <w:t>d.</w:t>
      </w:r>
      <w:r>
        <w:rPr>
          <w:rFonts w:hint="eastAsia" w:ascii="Times New Roman" w:hAnsi="Times New Roman" w:eastAsia="宋体" w:cs="宋体"/>
          <w:sz w:val="24"/>
          <w:szCs w:val="24"/>
        </w:rPr>
        <w:t>招标文件对投标人资格要求的其他资料，等等。</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12</w:t>
      </w:r>
      <w:r>
        <w:rPr>
          <w:rFonts w:hint="eastAsia" w:ascii="Times New Roman" w:hAnsi="Times New Roman" w:eastAsia="宋体" w:cs="宋体"/>
          <w:sz w:val="24"/>
          <w:szCs w:val="24"/>
        </w:rPr>
        <w:t>.</w:t>
      </w:r>
      <w:r>
        <w:rPr>
          <w:rFonts w:hint="eastAsia" w:ascii="Times New Roman" w:hAnsi="Times New Roman" w:eastAsia="宋体" w:cs="宋体"/>
          <w:sz w:val="24"/>
          <w:szCs w:val="24"/>
          <w:lang w:val="en-US" w:eastAsia="zh-CN"/>
        </w:rPr>
        <w:t>1.</w:t>
      </w:r>
      <w:r>
        <w:rPr>
          <w:rFonts w:hint="eastAsia" w:ascii="Times New Roman" w:hAnsi="Times New Roman" w:eastAsia="宋体" w:cs="宋体"/>
          <w:sz w:val="24"/>
          <w:szCs w:val="24"/>
        </w:rPr>
        <w:t>3</w:t>
      </w:r>
      <w:r>
        <w:rPr>
          <w:rFonts w:hint="eastAsia" w:ascii="Times New Roman" w:hAnsi="Times New Roman" w:eastAsia="宋体" w:cs="宋体"/>
          <w:sz w:val="24"/>
          <w:szCs w:val="24"/>
        </w:rPr>
        <w:t>技术文件编制一式</w:t>
      </w:r>
      <w:r>
        <w:rPr>
          <w:rFonts w:hint="eastAsia" w:ascii="Times New Roman" w:hAnsi="Times New Roman" w:eastAsia="宋体" w:cs="宋体"/>
          <w:sz w:val="24"/>
          <w:szCs w:val="24"/>
          <w:lang w:eastAsia="zh-CN"/>
        </w:rPr>
        <w:t>一</w:t>
      </w:r>
      <w:r>
        <w:rPr>
          <w:rFonts w:hint="eastAsia" w:ascii="Times New Roman" w:hAnsi="Times New Roman" w:eastAsia="宋体" w:cs="宋体"/>
          <w:sz w:val="24"/>
          <w:szCs w:val="24"/>
        </w:rPr>
        <w:t>份，主要内容为产地及生产厂家名称、产品质量指标及技术偏离表（对本招标文件第2条款中各技术指标的响应，如未说明即默认完全响应）。</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12</w:t>
      </w:r>
      <w:r>
        <w:rPr>
          <w:rFonts w:hint="eastAsia" w:ascii="Times New Roman" w:hAnsi="Times New Roman" w:eastAsia="宋体" w:cs="宋体"/>
          <w:sz w:val="24"/>
          <w:szCs w:val="24"/>
        </w:rPr>
        <w:t>.</w:t>
      </w:r>
      <w:r>
        <w:rPr>
          <w:rFonts w:hint="eastAsia" w:ascii="Times New Roman" w:hAnsi="Times New Roman" w:eastAsia="宋体" w:cs="宋体"/>
          <w:sz w:val="24"/>
          <w:szCs w:val="24"/>
          <w:lang w:val="en-US" w:eastAsia="zh-CN"/>
        </w:rPr>
        <w:t>1.</w:t>
      </w:r>
      <w:r>
        <w:rPr>
          <w:rFonts w:hint="eastAsia" w:ascii="Times New Roman" w:hAnsi="Times New Roman" w:eastAsia="宋体" w:cs="宋体"/>
          <w:sz w:val="24"/>
          <w:szCs w:val="24"/>
        </w:rPr>
        <w:t>4</w:t>
      </w:r>
      <w:r>
        <w:rPr>
          <w:rFonts w:hint="eastAsia" w:ascii="Times New Roman" w:hAnsi="Times New Roman" w:eastAsia="宋体" w:cs="宋体"/>
          <w:sz w:val="24"/>
          <w:szCs w:val="24"/>
        </w:rPr>
        <w:t>商务文件编制一式一份，包括投标报价表（</w:t>
      </w:r>
      <w:r>
        <w:rPr>
          <w:rFonts w:hint="eastAsia" w:ascii="Times New Roman" w:hAnsi="Times New Roman" w:eastAsia="宋体" w:cs="宋体"/>
          <w:sz w:val="24"/>
          <w:szCs w:val="24"/>
          <w:lang w:eastAsia="zh-CN"/>
        </w:rPr>
        <w:t>格式见附件</w:t>
      </w: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必须由法定代表人或被授权人签字或盖</w:t>
      </w:r>
      <w:r>
        <w:rPr>
          <w:rFonts w:hint="eastAsia" w:ascii="Times New Roman" w:hAnsi="Times New Roman" w:eastAsia="宋体" w:cs="宋体"/>
          <w:sz w:val="24"/>
          <w:szCs w:val="24"/>
          <w:lang w:eastAsia="zh-CN"/>
        </w:rPr>
        <w:t>个人</w:t>
      </w:r>
      <w:r>
        <w:rPr>
          <w:rFonts w:hint="eastAsia" w:ascii="Times New Roman" w:hAnsi="Times New Roman" w:eastAsia="宋体" w:cs="宋体"/>
          <w:sz w:val="24"/>
          <w:szCs w:val="24"/>
        </w:rPr>
        <w:t>章）、商务偏离表（如付款方式等，未说明即默认响应本招标文件要求），等等。</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12.2</w:t>
      </w:r>
      <w:r>
        <w:rPr>
          <w:rFonts w:hint="eastAsia" w:ascii="Times New Roman" w:hAnsi="Times New Roman" w:eastAsia="宋体" w:cs="宋体"/>
          <w:sz w:val="24"/>
          <w:szCs w:val="24"/>
        </w:rPr>
        <w:t>除</w:t>
      </w:r>
      <w:r>
        <w:rPr>
          <w:rFonts w:hint="eastAsia" w:ascii="Times New Roman" w:hAnsi="Times New Roman" w:eastAsia="宋体" w:cs="宋体"/>
          <w:sz w:val="24"/>
          <w:szCs w:val="24"/>
          <w:lang w:eastAsia="zh-CN"/>
        </w:rPr>
        <w:t>商务文件</w:t>
      </w:r>
      <w:r>
        <w:rPr>
          <w:rFonts w:hint="eastAsia" w:ascii="Times New Roman" w:hAnsi="Times New Roman" w:eastAsia="宋体" w:cs="宋体"/>
          <w:sz w:val="24"/>
          <w:szCs w:val="24"/>
        </w:rPr>
        <w:t>外，其他任何地方不得出现相关投标报价的任何内容。</w:t>
      </w:r>
    </w:p>
    <w:p>
      <w:pPr>
        <w:spacing w:line="440" w:lineRule="exact"/>
        <w:ind w:firstLine="482" w:firstLineChars="200"/>
        <w:rPr>
          <w:rFonts w:hint="eastAsia" w:ascii="Times New Roman" w:hAnsi="Times New Roman" w:eastAsia="宋体" w:cs="宋体"/>
          <w:sz w:val="24"/>
          <w:szCs w:val="24"/>
        </w:rPr>
      </w:pPr>
      <w:r>
        <w:rPr>
          <w:rFonts w:hint="eastAsia" w:ascii="Times New Roman" w:hAnsi="Times New Roman" w:eastAsia="宋体" w:cs="宋体"/>
          <w:b/>
          <w:sz w:val="24"/>
          <w:szCs w:val="24"/>
          <w:lang w:val="en-US" w:eastAsia="zh-CN"/>
        </w:rPr>
        <w:t>13</w:t>
      </w:r>
      <w:r>
        <w:rPr>
          <w:rFonts w:hint="eastAsia" w:ascii="Times New Roman" w:hAnsi="Times New Roman" w:eastAsia="宋体" w:cs="宋体"/>
          <w:b/>
          <w:sz w:val="24"/>
          <w:szCs w:val="24"/>
        </w:rPr>
        <w:t>.</w:t>
      </w:r>
      <w:r>
        <w:rPr>
          <w:rFonts w:hint="eastAsia" w:ascii="Times New Roman" w:hAnsi="Times New Roman" w:eastAsia="宋体" w:cs="宋体"/>
          <w:b/>
          <w:sz w:val="24"/>
          <w:szCs w:val="24"/>
        </w:rPr>
        <w:t>评标小组</w:t>
      </w:r>
      <w:r>
        <w:rPr>
          <w:rFonts w:hint="eastAsia" w:ascii="Times New Roman" w:hAnsi="Times New Roman" w:eastAsia="宋体" w:cs="宋体"/>
          <w:sz w:val="24"/>
          <w:szCs w:val="24"/>
        </w:rPr>
        <w:t>：评标小组由福建省青山纸业股份有限公司有关部门人员组成。</w:t>
      </w:r>
    </w:p>
    <w:p>
      <w:pPr>
        <w:spacing w:line="440" w:lineRule="exact"/>
        <w:ind w:firstLine="482" w:firstLineChars="200"/>
        <w:rPr>
          <w:rFonts w:hint="eastAsia" w:ascii="Times New Roman" w:hAnsi="Times New Roman" w:eastAsia="宋体" w:cs="宋体"/>
          <w:sz w:val="24"/>
          <w:szCs w:val="24"/>
        </w:rPr>
      </w:pPr>
      <w:r>
        <w:rPr>
          <w:rFonts w:hint="eastAsia" w:ascii="Times New Roman" w:hAnsi="Times New Roman" w:eastAsia="宋体" w:cs="宋体"/>
          <w:b/>
          <w:sz w:val="24"/>
          <w:szCs w:val="24"/>
          <w:lang w:val="en-US" w:eastAsia="zh-CN"/>
        </w:rPr>
        <w:t>14</w:t>
      </w:r>
      <w:r>
        <w:rPr>
          <w:rFonts w:hint="eastAsia" w:ascii="Times New Roman" w:hAnsi="Times New Roman" w:eastAsia="宋体" w:cs="宋体"/>
          <w:b/>
          <w:sz w:val="24"/>
          <w:szCs w:val="24"/>
        </w:rPr>
        <w:t>.</w:t>
      </w:r>
      <w:r>
        <w:rPr>
          <w:rFonts w:hint="eastAsia" w:ascii="Times New Roman" w:hAnsi="Times New Roman" w:eastAsia="宋体" w:cs="宋体"/>
          <w:b/>
          <w:sz w:val="24"/>
          <w:szCs w:val="24"/>
        </w:rPr>
        <w:t>发布招标公告</w:t>
      </w:r>
      <w:r>
        <w:rPr>
          <w:rFonts w:hint="eastAsia" w:ascii="Times New Roman" w:hAnsi="Times New Roman" w:eastAsia="宋体" w:cs="宋体"/>
          <w:b/>
          <w:sz w:val="24"/>
          <w:szCs w:val="24"/>
          <w:lang w:eastAsia="zh-CN"/>
        </w:rPr>
        <w:t>及结果公示</w:t>
      </w:r>
      <w:r>
        <w:rPr>
          <w:rFonts w:hint="eastAsia" w:ascii="Times New Roman" w:hAnsi="Times New Roman" w:eastAsia="宋体" w:cs="宋体"/>
          <w:b/>
          <w:sz w:val="24"/>
          <w:szCs w:val="24"/>
        </w:rPr>
        <w:t>媒体：</w:t>
      </w:r>
      <w:r>
        <w:rPr>
          <w:rFonts w:hint="eastAsia" w:ascii="Times New Roman" w:hAnsi="Times New Roman" w:eastAsia="宋体" w:cs="宋体"/>
          <w:sz w:val="24"/>
          <w:szCs w:val="24"/>
        </w:rPr>
        <w:t>福建省青山纸业股份有限公司</w:t>
      </w:r>
      <w:r>
        <w:rPr>
          <w:rFonts w:hint="eastAsia" w:ascii="Times New Roman" w:hAnsi="Times New Roman" w:eastAsia="宋体" w:cs="宋体"/>
        </w:rPr>
        <w:fldChar w:fldCharType="begin"/>
      </w:r>
      <w:r>
        <w:rPr>
          <w:rFonts w:hint="eastAsia" w:ascii="Times New Roman" w:hAnsi="Times New Roman" w:eastAsia="宋体" w:cs="宋体"/>
        </w:rPr>
        <w:instrText xml:space="preserve"> HYPERLINK "http://www.qingshanpaper.com/" </w:instrText>
      </w:r>
      <w:r>
        <w:rPr>
          <w:rFonts w:hint="eastAsia" w:ascii="Times New Roman" w:hAnsi="Times New Roman" w:eastAsia="宋体" w:cs="宋体"/>
        </w:rPr>
        <w:fldChar w:fldCharType="separate"/>
      </w:r>
      <w:r>
        <w:rPr>
          <w:rStyle w:val="11"/>
          <w:rFonts w:hint="eastAsia" w:ascii="Times New Roman" w:hAnsi="Times New Roman" w:eastAsia="宋体" w:cs="宋体"/>
          <w:sz w:val="24"/>
          <w:szCs w:val="24"/>
        </w:rPr>
        <w:t>www.qingshanpaper.com</w:t>
      </w:r>
      <w:r>
        <w:rPr>
          <w:rStyle w:val="11"/>
          <w:rFonts w:hint="eastAsia" w:ascii="Times New Roman" w:hAnsi="Times New Roman" w:eastAsia="宋体" w:cs="宋体"/>
          <w:sz w:val="24"/>
          <w:szCs w:val="24"/>
        </w:rPr>
        <w:fldChar w:fldCharType="end"/>
      </w:r>
      <w:r>
        <w:rPr>
          <w:rStyle w:val="11"/>
          <w:rFonts w:hint="eastAsia" w:ascii="Times New Roman" w:hAnsi="Times New Roman" w:eastAsia="宋体" w:cs="宋体"/>
          <w:color w:val="auto"/>
          <w:sz w:val="24"/>
          <w:szCs w:val="24"/>
          <w:u w:val="none"/>
          <w:shd w:val="clear" w:color="auto" w:fill="FFFFFF"/>
        </w:rPr>
        <w:t>、</w:t>
      </w:r>
      <w:r>
        <w:rPr>
          <w:rFonts w:hint="eastAsia" w:ascii="Times New Roman" w:hAnsi="Times New Roman" w:eastAsia="宋体" w:cs="宋体"/>
          <w:sz w:val="24"/>
          <w:szCs w:val="24"/>
        </w:rPr>
        <w:t>福建省轻纺</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控股</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有限责任公司</w:t>
      </w:r>
      <w:r>
        <w:rPr>
          <w:rFonts w:hint="eastAsia" w:ascii="Times New Roman" w:hAnsi="Times New Roman" w:eastAsia="宋体" w:cs="宋体"/>
        </w:rPr>
        <w:fldChar w:fldCharType="begin"/>
      </w:r>
      <w:r>
        <w:rPr>
          <w:rFonts w:hint="eastAsia" w:ascii="Times New Roman" w:hAnsi="Times New Roman" w:eastAsia="宋体" w:cs="宋体"/>
        </w:rPr>
        <w:instrText xml:space="preserve"> HYPERLINK "http://www.fjqfkg.com" </w:instrText>
      </w:r>
      <w:r>
        <w:rPr>
          <w:rFonts w:hint="eastAsia" w:ascii="Times New Roman" w:hAnsi="Times New Roman" w:eastAsia="宋体" w:cs="宋体"/>
        </w:rPr>
        <w:fldChar w:fldCharType="separate"/>
      </w:r>
      <w:r>
        <w:rPr>
          <w:rStyle w:val="11"/>
          <w:rFonts w:hint="eastAsia" w:ascii="Times New Roman" w:hAnsi="Times New Roman" w:eastAsia="宋体" w:cs="宋体"/>
          <w:sz w:val="24"/>
          <w:szCs w:val="24"/>
        </w:rPr>
        <w:t>www.fjqfkg.com</w:t>
      </w:r>
      <w:r>
        <w:rPr>
          <w:rStyle w:val="11"/>
          <w:rFonts w:hint="eastAsia" w:ascii="Times New Roman" w:hAnsi="Times New Roman" w:eastAsia="宋体" w:cs="宋体"/>
          <w:sz w:val="24"/>
          <w:szCs w:val="24"/>
        </w:rPr>
        <w:fldChar w:fldCharType="end"/>
      </w:r>
      <w:r>
        <w:rPr>
          <w:rFonts w:hint="eastAsia" w:ascii="Times New Roman" w:hAnsi="Times New Roman" w:eastAsia="宋体" w:cs="宋体"/>
          <w:sz w:val="24"/>
          <w:szCs w:val="24"/>
        </w:rPr>
        <w:t>、1688采购门户</w:t>
      </w:r>
      <w:r>
        <w:rPr>
          <w:rFonts w:hint="eastAsia" w:ascii="Times New Roman" w:hAnsi="Times New Roman" w:eastAsia="宋体" w:cs="宋体"/>
        </w:rPr>
        <w:fldChar w:fldCharType="begin"/>
      </w:r>
      <w:r>
        <w:rPr>
          <w:rFonts w:hint="eastAsia" w:ascii="Times New Roman" w:hAnsi="Times New Roman" w:eastAsia="宋体" w:cs="宋体"/>
        </w:rPr>
        <w:instrText xml:space="preserve"> HYPERLINK "https://fjqszy.go.1688.com" </w:instrText>
      </w:r>
      <w:r>
        <w:rPr>
          <w:rFonts w:hint="eastAsia" w:ascii="Times New Roman" w:hAnsi="Times New Roman" w:eastAsia="宋体" w:cs="宋体"/>
        </w:rPr>
        <w:fldChar w:fldCharType="separate"/>
      </w:r>
      <w:r>
        <w:rPr>
          <w:rStyle w:val="11"/>
          <w:rFonts w:hint="eastAsia" w:ascii="Times New Roman" w:hAnsi="Times New Roman" w:eastAsia="宋体" w:cs="宋体"/>
          <w:sz w:val="24"/>
          <w:szCs w:val="24"/>
        </w:rPr>
        <w:t>https://fjqszy.go.1688.com</w:t>
      </w:r>
      <w:r>
        <w:rPr>
          <w:rStyle w:val="11"/>
          <w:rFonts w:hint="eastAsia" w:ascii="Times New Roman" w:hAnsi="Times New Roman" w:eastAsia="宋体" w:cs="宋体"/>
          <w:sz w:val="24"/>
          <w:szCs w:val="24"/>
        </w:rPr>
        <w:fldChar w:fldCharType="end"/>
      </w:r>
      <w:r>
        <w:rPr>
          <w:rFonts w:hint="eastAsia" w:ascii="Times New Roman" w:hAnsi="Times New Roman" w:eastAsia="宋体" w:cs="宋体"/>
          <w:sz w:val="24"/>
          <w:szCs w:val="24"/>
          <w:shd w:val="clear" w:color="auto" w:fill="FFFFFF"/>
          <w:lang w:val="en-US" w:eastAsia="zh-CN"/>
        </w:rPr>
        <w:t>、</w:t>
      </w:r>
      <w:r>
        <w:rPr>
          <w:rFonts w:hint="eastAsia" w:ascii="Times New Roman" w:hAnsi="Times New Roman" w:eastAsia="宋体" w:cs="宋体"/>
          <w:sz w:val="24"/>
          <w:szCs w:val="24"/>
          <w:shd w:val="clear" w:color="auto" w:fill="FFFFFF"/>
        </w:rPr>
        <w:t>福建省国资采购平台</w:t>
      </w:r>
      <w:r>
        <w:rPr>
          <w:rFonts w:hint="eastAsia" w:ascii="Times New Roman" w:hAnsi="Times New Roman" w:eastAsia="宋体" w:cs="宋体"/>
          <w:sz w:val="24"/>
          <w:szCs w:val="24"/>
          <w:shd w:val="clear" w:color="auto" w:fill="FFFFFF"/>
        </w:rPr>
        <w:fldChar w:fldCharType="begin"/>
      </w:r>
      <w:r>
        <w:rPr>
          <w:rFonts w:hint="eastAsia" w:ascii="Times New Roman" w:hAnsi="Times New Roman" w:eastAsia="宋体" w:cs="宋体"/>
          <w:sz w:val="24"/>
          <w:szCs w:val="24"/>
          <w:shd w:val="clear" w:color="auto" w:fill="FFFFFF"/>
        </w:rPr>
        <w:instrText xml:space="preserve"> HYPERLINK "http://ygcg.fjcqjy.com" </w:instrText>
      </w:r>
      <w:r>
        <w:rPr>
          <w:rFonts w:hint="eastAsia" w:ascii="Times New Roman" w:hAnsi="Times New Roman" w:eastAsia="宋体" w:cs="宋体"/>
          <w:sz w:val="24"/>
          <w:szCs w:val="24"/>
          <w:shd w:val="clear" w:color="auto" w:fill="FFFFFF"/>
        </w:rPr>
        <w:fldChar w:fldCharType="separate"/>
      </w:r>
      <w:r>
        <w:rPr>
          <w:rStyle w:val="11"/>
          <w:rFonts w:hint="eastAsia" w:ascii="Times New Roman" w:hAnsi="Times New Roman" w:eastAsia="宋体" w:cs="宋体"/>
          <w:sz w:val="24"/>
          <w:szCs w:val="24"/>
          <w:shd w:val="clear" w:color="auto" w:fill="FFFFFF"/>
        </w:rPr>
        <w:t>ht</w:t>
      </w:r>
      <w:r>
        <w:rPr>
          <w:rStyle w:val="11"/>
          <w:rFonts w:hint="eastAsia" w:ascii="Times New Roman" w:hAnsi="Times New Roman" w:eastAsia="宋体" w:cs="宋体"/>
          <w:sz w:val="24"/>
          <w:szCs w:val="24"/>
          <w:shd w:val="clear" w:color="auto" w:fill="FFFFFF"/>
          <w:lang w:val="en-US" w:eastAsia="zh-CN"/>
        </w:rPr>
        <w:t>tp://y</w:t>
      </w:r>
      <w:r>
        <w:rPr>
          <w:rStyle w:val="11"/>
          <w:rFonts w:hint="eastAsia" w:ascii="Times New Roman" w:hAnsi="Times New Roman" w:eastAsia="宋体" w:cs="宋体"/>
          <w:sz w:val="24"/>
          <w:szCs w:val="24"/>
          <w:shd w:val="clear" w:color="auto" w:fill="FFFFFF"/>
        </w:rPr>
        <w:t>gcg</w:t>
      </w:r>
      <w:r>
        <w:rPr>
          <w:rStyle w:val="11"/>
          <w:rFonts w:hint="eastAsia" w:ascii="Times New Roman" w:hAnsi="Times New Roman" w:eastAsia="宋体" w:cs="宋体"/>
          <w:sz w:val="24"/>
          <w:szCs w:val="24"/>
          <w:shd w:val="clear" w:color="auto" w:fill="FFFFFF"/>
          <w:lang w:val="en-US" w:eastAsia="zh-CN"/>
        </w:rPr>
        <w:t>.</w:t>
      </w:r>
      <w:r>
        <w:rPr>
          <w:rStyle w:val="11"/>
          <w:rFonts w:hint="eastAsia" w:ascii="Times New Roman" w:hAnsi="Times New Roman" w:eastAsia="宋体" w:cs="宋体"/>
          <w:sz w:val="24"/>
          <w:szCs w:val="24"/>
          <w:shd w:val="clear" w:color="auto" w:fill="FFFFFF"/>
        </w:rPr>
        <w:t>f</w:t>
      </w:r>
      <w:r>
        <w:rPr>
          <w:rStyle w:val="11"/>
          <w:rFonts w:hint="eastAsia" w:ascii="Times New Roman" w:hAnsi="Times New Roman" w:eastAsia="宋体" w:cs="宋体"/>
          <w:sz w:val="24"/>
          <w:szCs w:val="24"/>
          <w:shd w:val="clear" w:color="auto" w:fill="FFFFFF"/>
          <w:lang w:val="en-US" w:eastAsia="zh-CN"/>
        </w:rPr>
        <w:t>j</w:t>
      </w:r>
      <w:r>
        <w:rPr>
          <w:rStyle w:val="11"/>
          <w:rFonts w:hint="eastAsia" w:ascii="Times New Roman" w:hAnsi="Times New Roman" w:eastAsia="宋体" w:cs="宋体"/>
          <w:sz w:val="24"/>
          <w:szCs w:val="24"/>
          <w:shd w:val="clear" w:color="auto" w:fill="FFFFFF"/>
        </w:rPr>
        <w:t>c</w:t>
      </w:r>
      <w:r>
        <w:rPr>
          <w:rStyle w:val="11"/>
          <w:rFonts w:hint="eastAsia" w:ascii="Times New Roman" w:hAnsi="Times New Roman" w:eastAsia="宋体" w:cs="宋体"/>
          <w:sz w:val="24"/>
          <w:szCs w:val="24"/>
          <w:shd w:val="clear" w:color="auto" w:fill="FFFFFF"/>
          <w:lang w:val="en-US" w:eastAsia="zh-CN"/>
        </w:rPr>
        <w:t>qj</w:t>
      </w:r>
      <w:r>
        <w:rPr>
          <w:rStyle w:val="11"/>
          <w:rFonts w:hint="eastAsia" w:ascii="Times New Roman" w:hAnsi="Times New Roman" w:eastAsia="宋体" w:cs="宋体"/>
          <w:sz w:val="24"/>
          <w:szCs w:val="24"/>
          <w:shd w:val="clear" w:color="auto" w:fill="FFFFFF"/>
        </w:rPr>
        <w:t>y</w:t>
      </w:r>
      <w:r>
        <w:rPr>
          <w:rStyle w:val="11"/>
          <w:rFonts w:hint="eastAsia" w:ascii="Times New Roman" w:hAnsi="Times New Roman" w:eastAsia="宋体" w:cs="宋体"/>
          <w:sz w:val="24"/>
          <w:szCs w:val="24"/>
          <w:shd w:val="clear" w:color="auto" w:fill="FFFFFF"/>
          <w:lang w:val="en-US" w:eastAsia="zh-CN"/>
        </w:rPr>
        <w:t>.</w:t>
      </w:r>
      <w:r>
        <w:rPr>
          <w:rStyle w:val="11"/>
          <w:rFonts w:hint="eastAsia" w:ascii="Times New Roman" w:hAnsi="Times New Roman" w:eastAsia="宋体" w:cs="宋体"/>
          <w:sz w:val="24"/>
          <w:szCs w:val="24"/>
          <w:shd w:val="clear" w:color="auto" w:fill="FFFFFF"/>
        </w:rPr>
        <w:t>com</w:t>
      </w:r>
      <w:r>
        <w:rPr>
          <w:rFonts w:hint="eastAsia" w:ascii="Times New Roman" w:hAnsi="Times New Roman" w:eastAsia="宋体" w:cs="宋体"/>
          <w:sz w:val="24"/>
          <w:szCs w:val="24"/>
          <w:shd w:val="clear" w:color="auto" w:fill="FFFFFF"/>
        </w:rPr>
        <w:fldChar w:fldCharType="end"/>
      </w:r>
      <w:r>
        <w:rPr>
          <w:rFonts w:hint="eastAsia" w:ascii="Times New Roman" w:hAnsi="Times New Roman" w:eastAsia="宋体" w:cs="宋体"/>
          <w:sz w:val="24"/>
          <w:szCs w:val="24"/>
          <w:shd w:val="clear" w:color="auto" w:fill="FFFFFF"/>
        </w:rPr>
        <w:t>、中国招投标公共服务平台</w:t>
      </w:r>
      <w:r>
        <w:rPr>
          <w:rFonts w:hint="eastAsia" w:ascii="Times New Roman" w:hAnsi="Times New Roman" w:eastAsia="宋体" w:cs="宋体"/>
          <w:sz w:val="24"/>
          <w:szCs w:val="24"/>
          <w:shd w:val="clear" w:color="auto" w:fill="FFFFFF"/>
        </w:rPr>
        <w:fldChar w:fldCharType="begin"/>
      </w:r>
      <w:r>
        <w:rPr>
          <w:rFonts w:hint="eastAsia" w:ascii="Times New Roman" w:hAnsi="Times New Roman" w:eastAsia="宋体" w:cs="宋体"/>
          <w:sz w:val="24"/>
          <w:szCs w:val="24"/>
          <w:shd w:val="clear" w:color="auto" w:fill="FFFFFF"/>
        </w:rPr>
        <w:instrText xml:space="preserve"> HYPERLINK "http://www.cebpubservice.com" </w:instrText>
      </w:r>
      <w:r>
        <w:rPr>
          <w:rFonts w:hint="eastAsia" w:ascii="Times New Roman" w:hAnsi="Times New Roman" w:eastAsia="宋体" w:cs="宋体"/>
          <w:sz w:val="24"/>
          <w:szCs w:val="24"/>
          <w:shd w:val="clear" w:color="auto" w:fill="FFFFFF"/>
        </w:rPr>
        <w:fldChar w:fldCharType="separate"/>
      </w:r>
      <w:r>
        <w:rPr>
          <w:rStyle w:val="11"/>
          <w:rFonts w:hint="eastAsia" w:ascii="Times New Roman" w:hAnsi="Times New Roman" w:eastAsia="宋体" w:cs="宋体"/>
          <w:sz w:val="24"/>
          <w:szCs w:val="24"/>
          <w:shd w:val="clear" w:color="auto" w:fill="FFFFFF"/>
        </w:rPr>
        <w:t>www.cebpubservice.com</w:t>
      </w:r>
      <w:r>
        <w:rPr>
          <w:rFonts w:hint="eastAsia" w:ascii="Times New Roman" w:hAnsi="Times New Roman" w:eastAsia="宋体" w:cs="宋体"/>
          <w:sz w:val="24"/>
          <w:szCs w:val="24"/>
          <w:shd w:val="clear" w:color="auto" w:fill="FFFFFF"/>
        </w:rPr>
        <w:fldChar w:fldCharType="end"/>
      </w:r>
      <w:r>
        <w:rPr>
          <w:rFonts w:hint="eastAsia" w:ascii="Times New Roman" w:hAnsi="Times New Roman" w:eastAsia="宋体" w:cs="宋体"/>
          <w:color w:val="000000"/>
          <w:sz w:val="24"/>
          <w:szCs w:val="24"/>
          <w:shd w:val="clear" w:color="auto" w:fill="FFFFFF"/>
        </w:rPr>
        <w:t>。</w:t>
      </w:r>
    </w:p>
    <w:p>
      <w:pPr>
        <w:spacing w:line="440" w:lineRule="exact"/>
        <w:ind w:firstLine="482" w:firstLineChars="200"/>
        <w:rPr>
          <w:rFonts w:hint="eastAsia" w:ascii="Times New Roman" w:hAnsi="Times New Roman" w:eastAsia="宋体" w:cs="宋体"/>
          <w:sz w:val="24"/>
          <w:szCs w:val="24"/>
        </w:rPr>
      </w:pPr>
      <w:r>
        <w:rPr>
          <w:rFonts w:hint="eastAsia" w:ascii="Times New Roman" w:hAnsi="Times New Roman" w:eastAsia="宋体" w:cs="宋体"/>
          <w:b/>
          <w:bCs/>
          <w:sz w:val="24"/>
          <w:szCs w:val="24"/>
          <w:lang w:val="en-US" w:eastAsia="zh-CN"/>
        </w:rPr>
        <w:t>15.</w:t>
      </w:r>
      <w:r>
        <w:rPr>
          <w:rFonts w:hint="eastAsia" w:ascii="Times New Roman" w:hAnsi="Times New Roman" w:eastAsia="宋体" w:cs="宋体"/>
          <w:b/>
          <w:bCs/>
          <w:sz w:val="24"/>
          <w:szCs w:val="24"/>
        </w:rPr>
        <w:t>联系方式</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招标办</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0598-5658595</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技术交流</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0598-5658243</w:t>
      </w:r>
    </w:p>
    <w:p>
      <w:pPr>
        <w:spacing w:line="440" w:lineRule="exact"/>
        <w:ind w:firstLine="480" w:firstLineChars="200"/>
        <w:rPr>
          <w:rFonts w:hint="eastAsia" w:ascii="Times New Roman" w:hAnsi="Times New Roman" w:eastAsia="宋体" w:cs="宋体"/>
          <w:sz w:val="24"/>
          <w:szCs w:val="24"/>
        </w:rPr>
      </w:pPr>
    </w:p>
    <w:p>
      <w:pPr>
        <w:spacing w:line="440" w:lineRule="exact"/>
        <w:ind w:firstLine="480" w:firstLineChars="200"/>
        <w:rPr>
          <w:rFonts w:hint="eastAsia" w:ascii="Times New Roman" w:hAnsi="Times New Roman" w:eastAsia="宋体" w:cs="宋体"/>
          <w:sz w:val="24"/>
          <w:szCs w:val="24"/>
          <w:lang w:eastAsia="zh-CN"/>
        </w:rPr>
      </w:pPr>
      <w:r>
        <w:rPr>
          <w:rFonts w:hint="eastAsia" w:ascii="Times New Roman" w:hAnsi="Times New Roman" w:eastAsia="宋体" w:cs="宋体"/>
          <w:sz w:val="24"/>
          <w:szCs w:val="24"/>
        </w:rPr>
        <w:t>附件1：</w:t>
      </w:r>
      <w:r>
        <w:rPr>
          <w:rFonts w:hint="eastAsia" w:ascii="Times New Roman" w:hAnsi="Times New Roman" w:eastAsia="宋体" w:cs="宋体"/>
          <w:sz w:val="24"/>
          <w:szCs w:val="24"/>
          <w:lang w:eastAsia="zh-CN"/>
        </w:rPr>
        <w:t>保证金函（格式）</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附件</w:t>
      </w:r>
      <w:r>
        <w:rPr>
          <w:rFonts w:hint="eastAsia" w:ascii="Times New Roman" w:hAnsi="Times New Roman" w:eastAsia="宋体" w:cs="宋体"/>
          <w:sz w:val="24"/>
          <w:szCs w:val="24"/>
          <w:lang w:val="en-US" w:eastAsia="zh-CN"/>
        </w:rPr>
        <w:t>2</w:t>
      </w:r>
      <w:r>
        <w:rPr>
          <w:rFonts w:hint="eastAsia" w:ascii="Times New Roman" w:hAnsi="Times New Roman" w:eastAsia="宋体" w:cs="宋体"/>
          <w:sz w:val="24"/>
          <w:szCs w:val="24"/>
        </w:rPr>
        <w:t>：</w:t>
      </w:r>
      <w:r>
        <w:rPr>
          <w:rFonts w:hint="eastAsia" w:ascii="Times New Roman" w:hAnsi="Times New Roman" w:eastAsia="宋体" w:cs="宋体"/>
          <w:sz w:val="24"/>
          <w:szCs w:val="24"/>
        </w:rPr>
        <w:t>法定代表人授权书（格式）</w:t>
      </w:r>
    </w:p>
    <w:p>
      <w:pPr>
        <w:spacing w:line="440" w:lineRule="exact"/>
        <w:ind w:firstLine="480" w:firstLineChars="200"/>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3：投标报价表（格式）</w:t>
      </w:r>
    </w:p>
    <w:p>
      <w:pPr>
        <w:spacing w:line="440" w:lineRule="exact"/>
        <w:ind w:firstLine="480" w:firstLineChars="200"/>
        <w:rPr>
          <w:rFonts w:hint="eastAsia" w:ascii="Times New Roman" w:hAnsi="Times New Roman" w:eastAsia="宋体" w:cs="宋体"/>
          <w:sz w:val="24"/>
          <w:szCs w:val="24"/>
        </w:rPr>
      </w:pPr>
    </w:p>
    <w:p>
      <w:pPr>
        <w:spacing w:line="448" w:lineRule="exact"/>
        <w:ind w:firstLine="480" w:firstLineChars="200"/>
        <w:jc w:val="right"/>
        <w:rPr>
          <w:rFonts w:hint="eastAsia" w:ascii="Times New Roman" w:hAnsi="Times New Roman" w:eastAsia="宋体" w:cs="宋体"/>
          <w:sz w:val="24"/>
          <w:szCs w:val="24"/>
        </w:rPr>
      </w:pPr>
      <w:r>
        <w:rPr>
          <w:rFonts w:hint="eastAsia" w:ascii="Times New Roman" w:hAnsi="Times New Roman" w:eastAsia="宋体" w:cs="宋体"/>
          <w:sz w:val="24"/>
          <w:szCs w:val="24"/>
        </w:rPr>
        <w:t>福建省青山纸业股份有限公司</w:t>
      </w:r>
    </w:p>
    <w:p>
      <w:pPr>
        <w:wordWrap w:val="0"/>
        <w:spacing w:line="448" w:lineRule="exact"/>
        <w:ind w:firstLine="480" w:firstLineChars="200"/>
        <w:jc w:val="right"/>
        <w:rPr>
          <w:rFonts w:hint="eastAsia" w:ascii="Times New Roman" w:hAnsi="Times New Roman" w:eastAsia="宋体" w:cs="宋体"/>
          <w:sz w:val="24"/>
          <w:szCs w:val="24"/>
        </w:rPr>
      </w:pPr>
      <w:r>
        <w:rPr>
          <w:rFonts w:hint="eastAsia" w:ascii="Times New Roman" w:hAnsi="Times New Roman" w:eastAsia="宋体" w:cs="宋体"/>
          <w:sz w:val="24"/>
          <w:szCs w:val="24"/>
        </w:rPr>
        <w:t>招标办公室 　　　</w:t>
      </w:r>
    </w:p>
    <w:p>
      <w:pPr>
        <w:wordWrap w:val="0"/>
        <w:spacing w:line="448" w:lineRule="exact"/>
        <w:ind w:firstLine="480" w:firstLineChars="200"/>
        <w:jc w:val="right"/>
        <w:rPr>
          <w:rFonts w:hint="eastAsia" w:ascii="Times New Roman" w:hAnsi="Times New Roman" w:eastAsia="宋体" w:cs="宋体"/>
          <w:sz w:val="24"/>
          <w:szCs w:val="24"/>
        </w:rPr>
      </w:pPr>
      <w:r>
        <w:rPr>
          <w:rFonts w:hint="eastAsia" w:ascii="Times New Roman" w:hAnsi="Times New Roman" w:eastAsia="宋体" w:cs="宋体"/>
          <w:sz w:val="24"/>
          <w:szCs w:val="24"/>
        </w:rPr>
        <w:t>20</w:t>
      </w:r>
      <w:r>
        <w:rPr>
          <w:rFonts w:hint="eastAsia" w:ascii="Times New Roman" w:hAnsi="Times New Roman" w:eastAsia="宋体" w:cs="宋体"/>
          <w:sz w:val="24"/>
          <w:szCs w:val="24"/>
        </w:rPr>
        <w:t>2</w:t>
      </w: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年</w:t>
      </w:r>
      <w:r>
        <w:rPr>
          <w:rFonts w:hint="eastAsia" w:ascii="Times New Roman" w:hAnsi="Times New Roman" w:eastAsia="宋体" w:cs="宋体"/>
          <w:sz w:val="24"/>
          <w:szCs w:val="24"/>
          <w:lang w:val="en-US" w:eastAsia="zh-CN"/>
        </w:rPr>
        <w:t>7</w:t>
      </w:r>
      <w:r>
        <w:rPr>
          <w:rFonts w:hint="eastAsia" w:ascii="Times New Roman" w:hAnsi="Times New Roman" w:eastAsia="宋体" w:cs="宋体"/>
          <w:sz w:val="24"/>
          <w:szCs w:val="24"/>
        </w:rPr>
        <w:t>月</w:t>
      </w:r>
      <w:r>
        <w:rPr>
          <w:rFonts w:hint="eastAsia" w:ascii="Times New Roman" w:hAnsi="Times New Roman" w:eastAsia="宋体" w:cs="宋体"/>
          <w:sz w:val="24"/>
          <w:szCs w:val="24"/>
          <w:lang w:val="en-US" w:eastAsia="zh-CN"/>
        </w:rPr>
        <w:t>21</w:t>
      </w:r>
      <w:r>
        <w:rPr>
          <w:rFonts w:hint="eastAsia" w:ascii="Times New Roman" w:hAnsi="Times New Roman" w:eastAsia="宋体" w:cs="宋体"/>
          <w:sz w:val="24"/>
          <w:szCs w:val="24"/>
        </w:rPr>
        <w:t>日　　</w:t>
      </w:r>
    </w:p>
    <w:p>
      <w:pPr>
        <w:widowControl/>
        <w:adjustRightInd/>
        <w:spacing w:line="240" w:lineRule="auto"/>
        <w:jc w:val="left"/>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30"/>
          <w:szCs w:val="30"/>
          <w:lang w:eastAsia="zh-CN"/>
        </w:rPr>
        <w:t>投标保证金函</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我司参与投标</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项目（招标编号：</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1、投标保证金金额：</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2、转抵款项形式：□已结未付货款</w:t>
      </w:r>
      <w:r>
        <w:rPr>
          <w:rFonts w:hint="eastAsia" w:ascii="Times New Roman" w:hAnsi="Times New Roman" w:eastAsia="宋体" w:cs="宋体"/>
          <w:sz w:val="28"/>
          <w:szCs w:val="28"/>
          <w:lang w:val="en-US" w:eastAsia="zh-CN"/>
        </w:rPr>
        <w:t xml:space="preserve">     </w:t>
      </w:r>
      <w:r>
        <w:rPr>
          <w:rFonts w:hint="eastAsia" w:ascii="Times New Roman" w:hAnsi="Times New Roman" w:eastAsia="宋体" w:cs="宋体"/>
          <w:sz w:val="28"/>
          <w:szCs w:val="28"/>
          <w:lang w:eastAsia="zh-CN"/>
        </w:rPr>
        <w:t>□到期未退保证金。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val="en-US" w:eastAsia="zh-CN"/>
        </w:rPr>
      </w:pPr>
      <w:r>
        <w:rPr>
          <w:rFonts w:hint="eastAsia" w:ascii="Times New Roman" w:hAnsi="Times New Roman" w:eastAsia="宋体" w:cs="宋体"/>
          <w:sz w:val="28"/>
          <w:szCs w:val="28"/>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投标人名称（盖公章）：</w:t>
      </w:r>
    </w:p>
    <w:p>
      <w:pPr>
        <w:keepNext w:val="0"/>
        <w:keepLines w:val="0"/>
        <w:pageBreakBefore w:val="0"/>
        <w:widowControl w:val="0"/>
        <w:kinsoku/>
        <w:wordWrap/>
        <w:overflowPunct/>
        <w:topLinePunct w:val="0"/>
        <w:autoSpaceDE/>
        <w:autoSpaceDN/>
        <w:bidi w:val="0"/>
        <w:adjustRightInd/>
        <w:snapToGrid/>
        <w:spacing w:line="440" w:lineRule="exact"/>
        <w:ind w:firstLine="2800" w:firstLineChars="1000"/>
        <w:textAlignment w:val="auto"/>
        <w:outlineLvl w:val="9"/>
        <w:rPr>
          <w:rFonts w:hint="eastAsia" w:ascii="Times New Roman" w:hAnsi="Times New Roman" w:eastAsia="宋体" w:cs="宋体"/>
          <w:sz w:val="24"/>
          <w:szCs w:val="24"/>
        </w:rPr>
      </w:pPr>
      <w:r>
        <w:rPr>
          <w:rFonts w:hint="eastAsia" w:ascii="Times New Roman" w:hAnsi="Times New Roman" w:eastAsia="宋体" w:cs="宋体"/>
          <w:sz w:val="28"/>
          <w:szCs w:val="28"/>
          <w:lang w:eastAsia="zh-CN"/>
        </w:rPr>
        <w:t>日　　　期：　　　年　　月　　日</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rPr>
      </w:pPr>
      <w:r>
        <w:rPr>
          <w:rFonts w:hint="eastAsia" w:ascii="Times New Roman" w:hAnsi="Times New Roman" w:eastAsia="宋体" w:cs="宋体"/>
          <w:sz w:val="24"/>
          <w:szCs w:val="24"/>
        </w:rPr>
        <w:br w:type="page"/>
      </w:r>
    </w:p>
    <w:p>
      <w:pPr>
        <w:rPr>
          <w:rFonts w:hint="eastAsia" w:ascii="Times New Roman" w:hAnsi="Times New Roman" w:eastAsia="宋体" w:cs="宋体"/>
          <w:bCs/>
          <w:sz w:val="24"/>
          <w:szCs w:val="24"/>
        </w:rPr>
      </w:pPr>
      <w:r>
        <w:rPr>
          <w:rFonts w:hint="eastAsia" w:ascii="Times New Roman" w:hAnsi="Times New Roman" w:eastAsia="宋体" w:cs="宋体"/>
          <w:bCs/>
          <w:sz w:val="24"/>
          <w:szCs w:val="24"/>
        </w:rPr>
        <w:t>附件</w:t>
      </w:r>
      <w:r>
        <w:rPr>
          <w:rFonts w:hint="eastAsia" w:ascii="Times New Roman" w:hAnsi="Times New Roman" w:eastAsia="宋体" w:cs="宋体"/>
          <w:bCs/>
          <w:sz w:val="24"/>
          <w:szCs w:val="24"/>
          <w:lang w:val="en-US" w:eastAsia="zh-CN"/>
        </w:rPr>
        <w:t>2</w:t>
      </w:r>
      <w:r>
        <w:rPr>
          <w:rFonts w:hint="eastAsia" w:ascii="Times New Roman" w:hAnsi="Times New Roman" w:eastAsia="宋体" w:cs="宋体"/>
          <w:bCs/>
          <w:sz w:val="24"/>
          <w:szCs w:val="24"/>
        </w:rPr>
        <w:t>：法定代表人授权书（格式）</w:t>
      </w:r>
    </w:p>
    <w:p>
      <w:pPr>
        <w:spacing w:line="460" w:lineRule="exact"/>
        <w:rPr>
          <w:rFonts w:hint="eastAsia" w:ascii="Times New Roman" w:hAnsi="Times New Roman" w:eastAsia="宋体" w:cs="宋体"/>
          <w:bCs/>
          <w:sz w:val="24"/>
          <w:szCs w:val="24"/>
        </w:rPr>
      </w:pPr>
    </w:p>
    <w:p>
      <w:pPr>
        <w:spacing w:afterLines="50" w:line="460" w:lineRule="exact"/>
        <w:jc w:val="center"/>
        <w:rPr>
          <w:rFonts w:hint="eastAsia" w:ascii="Times New Roman" w:hAnsi="Times New Roman" w:eastAsia="宋体" w:cs="宋体"/>
          <w:b/>
          <w:bCs/>
          <w:sz w:val="28"/>
          <w:szCs w:val="28"/>
        </w:rPr>
      </w:pPr>
      <w:r>
        <w:rPr>
          <w:rFonts w:hint="eastAsia" w:ascii="Times New Roman" w:hAnsi="Times New Roman" w:eastAsia="宋体" w:cs="宋体"/>
          <w:b/>
          <w:bCs/>
          <w:spacing w:val="20"/>
          <w:sz w:val="28"/>
          <w:szCs w:val="28"/>
        </w:rPr>
        <w:t>法定代表人授权书</w:t>
      </w:r>
    </w:p>
    <w:p>
      <w:pPr>
        <w:spacing w:line="460" w:lineRule="exact"/>
        <w:rPr>
          <w:rFonts w:hint="eastAsia" w:ascii="Times New Roman" w:hAnsi="Times New Roman" w:eastAsia="宋体" w:cs="宋体"/>
          <w:bCs/>
          <w:sz w:val="24"/>
          <w:szCs w:val="24"/>
        </w:rPr>
      </w:pPr>
      <w:r>
        <w:rPr>
          <w:rFonts w:hint="eastAsia" w:ascii="Times New Roman" w:hAnsi="Times New Roman" w:eastAsia="宋体" w:cs="宋体"/>
          <w:bCs/>
          <w:sz w:val="24"/>
          <w:szCs w:val="24"/>
          <w:u w:val="single"/>
        </w:rPr>
        <w:t>　　　　（招标人名称）　　　　</w:t>
      </w:r>
      <w:r>
        <w:rPr>
          <w:rFonts w:hint="eastAsia" w:ascii="Times New Roman" w:hAnsi="Times New Roman" w:eastAsia="宋体" w:cs="宋体"/>
          <w:bCs/>
          <w:sz w:val="24"/>
          <w:szCs w:val="24"/>
        </w:rPr>
        <w:t>：</w:t>
      </w:r>
    </w:p>
    <w:p>
      <w:pPr>
        <w:spacing w:line="460" w:lineRule="exact"/>
        <w:ind w:firstLine="480" w:firstLineChars="200"/>
        <w:rPr>
          <w:rFonts w:hint="eastAsia" w:ascii="Times New Roman" w:hAnsi="Times New Roman" w:eastAsia="宋体" w:cs="宋体"/>
          <w:bCs/>
          <w:sz w:val="24"/>
          <w:szCs w:val="24"/>
        </w:rPr>
      </w:pPr>
      <w:r>
        <w:rPr>
          <w:rFonts w:hint="eastAsia" w:ascii="Times New Roman" w:hAnsi="Times New Roman" w:eastAsia="宋体" w:cs="宋体"/>
          <w:bCs/>
          <w:sz w:val="24"/>
          <w:szCs w:val="24"/>
          <w:u w:val="single"/>
        </w:rPr>
        <w:t>　　（投标人全称）　　</w:t>
      </w:r>
      <w:r>
        <w:rPr>
          <w:rFonts w:hint="eastAsia" w:ascii="Times New Roman" w:hAnsi="Times New Roman" w:eastAsia="宋体" w:cs="宋体"/>
          <w:bCs/>
          <w:sz w:val="24"/>
          <w:szCs w:val="24"/>
        </w:rPr>
        <w:t>法定代表人</w:t>
      </w:r>
      <w:r>
        <w:rPr>
          <w:rFonts w:hint="eastAsia" w:ascii="Times New Roman" w:hAnsi="Times New Roman" w:eastAsia="宋体" w:cs="宋体"/>
          <w:bCs/>
          <w:sz w:val="24"/>
          <w:szCs w:val="24"/>
          <w:u w:val="single"/>
        </w:rPr>
        <w:t>　（姓名）　</w:t>
      </w:r>
      <w:r>
        <w:rPr>
          <w:rFonts w:hint="eastAsia" w:ascii="Times New Roman" w:hAnsi="Times New Roman" w:eastAsia="宋体" w:cs="宋体"/>
          <w:bCs/>
          <w:sz w:val="24"/>
          <w:szCs w:val="24"/>
        </w:rPr>
        <w:t>授权</w:t>
      </w:r>
      <w:r>
        <w:rPr>
          <w:rFonts w:hint="eastAsia" w:ascii="Times New Roman" w:hAnsi="Times New Roman" w:eastAsia="宋体" w:cs="宋体"/>
          <w:bCs/>
          <w:sz w:val="24"/>
          <w:szCs w:val="24"/>
          <w:u w:val="single"/>
        </w:rPr>
        <w:t>　（投标人代表姓名）　</w:t>
      </w:r>
      <w:r>
        <w:rPr>
          <w:rFonts w:hint="eastAsia" w:ascii="Times New Roman" w:hAnsi="Times New Roman" w:eastAsia="宋体" w:cs="宋体"/>
          <w:bCs/>
          <w:sz w:val="24"/>
          <w:szCs w:val="24"/>
        </w:rPr>
        <w:t>为投标人代表，代表本公司参加贵处组织的</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项目（招标编号</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hint="eastAsia" w:ascii="Times New Roman" w:hAnsi="Times New Roman" w:eastAsia="宋体" w:cs="宋体"/>
          <w:bCs/>
          <w:sz w:val="24"/>
          <w:szCs w:val="24"/>
        </w:rPr>
      </w:pPr>
    </w:p>
    <w:p>
      <w:pPr>
        <w:spacing w:line="460" w:lineRule="exact"/>
        <w:rPr>
          <w:rFonts w:hint="eastAsia" w:ascii="Times New Roman" w:hAnsi="Times New Roman" w:eastAsia="宋体" w:cs="宋体"/>
          <w:bCs/>
          <w:sz w:val="24"/>
          <w:szCs w:val="24"/>
        </w:rPr>
      </w:pPr>
      <w:r>
        <w:rPr>
          <w:rFonts w:hint="eastAsia" w:ascii="Times New Roman" w:hAnsi="Times New Roman" w:eastAsia="宋体" w:cs="宋体"/>
          <w:bCs/>
          <w:sz w:val="24"/>
          <w:szCs w:val="24"/>
        </w:rPr>
        <w:t>投标人代表：</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性别：</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身份证号：</w:t>
      </w:r>
      <w:r>
        <w:rPr>
          <w:rFonts w:hint="eastAsia" w:ascii="Times New Roman" w:hAnsi="Times New Roman" w:eastAsia="宋体" w:cs="宋体"/>
          <w:bCs/>
          <w:sz w:val="24"/>
          <w:szCs w:val="24"/>
          <w:u w:val="single"/>
        </w:rPr>
        <w:t>　　　　　　　　</w:t>
      </w:r>
    </w:p>
    <w:p>
      <w:pPr>
        <w:spacing w:line="460" w:lineRule="exact"/>
        <w:rPr>
          <w:rFonts w:hint="eastAsia" w:ascii="Times New Roman" w:hAnsi="Times New Roman" w:eastAsia="宋体" w:cs="宋体"/>
          <w:bCs/>
          <w:sz w:val="24"/>
          <w:szCs w:val="24"/>
        </w:rPr>
      </w:pPr>
      <w:r>
        <w:rPr>
          <w:rFonts w:hint="eastAsia" w:ascii="Times New Roman" w:hAnsi="Times New Roman" w:eastAsia="宋体" w:cs="宋体"/>
          <w:bCs/>
          <w:sz w:val="24"/>
          <w:szCs w:val="24"/>
        </w:rPr>
        <w:t>单位：</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部门：</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职务：</w:t>
      </w:r>
      <w:r>
        <w:rPr>
          <w:rFonts w:hint="eastAsia" w:ascii="Times New Roman" w:hAnsi="Times New Roman" w:eastAsia="宋体" w:cs="宋体"/>
          <w:bCs/>
          <w:sz w:val="24"/>
          <w:szCs w:val="24"/>
          <w:u w:val="single"/>
        </w:rPr>
        <w:t>　　　　　　　　　　</w:t>
      </w:r>
    </w:p>
    <w:p>
      <w:pPr>
        <w:spacing w:line="460" w:lineRule="exact"/>
        <w:rPr>
          <w:rFonts w:hint="eastAsia" w:ascii="Times New Roman" w:hAnsi="Times New Roman" w:eastAsia="宋体" w:cs="宋体"/>
          <w:bCs/>
          <w:sz w:val="24"/>
          <w:szCs w:val="24"/>
        </w:rPr>
      </w:pPr>
      <w:r>
        <w:rPr>
          <w:rFonts w:hint="eastAsia" w:ascii="Times New Roman" w:hAnsi="Times New Roman" w:eastAsia="宋体" w:cs="宋体"/>
          <w:bCs/>
          <w:sz w:val="24"/>
          <w:szCs w:val="24"/>
        </w:rPr>
        <w:t>详细通讯地址：</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邮政编码：</w:t>
      </w:r>
      <w:r>
        <w:rPr>
          <w:rFonts w:hint="eastAsia" w:ascii="Times New Roman" w:hAnsi="Times New Roman" w:eastAsia="宋体" w:cs="宋体"/>
          <w:bCs/>
          <w:sz w:val="24"/>
          <w:szCs w:val="24"/>
          <w:u w:val="single"/>
        </w:rPr>
        <w:t>　　　　</w:t>
      </w:r>
      <w:r>
        <w:rPr>
          <w:rFonts w:hint="eastAsia" w:ascii="Times New Roman" w:hAnsi="Times New Roman" w:eastAsia="宋体" w:cs="宋体"/>
          <w:bCs/>
          <w:sz w:val="24"/>
          <w:szCs w:val="24"/>
        </w:rPr>
        <w:t>电话：</w:t>
      </w:r>
      <w:r>
        <w:rPr>
          <w:rFonts w:hint="eastAsia" w:ascii="Times New Roman" w:hAnsi="Times New Roman" w:eastAsia="宋体" w:cs="宋体"/>
          <w:bCs/>
          <w:sz w:val="24"/>
          <w:szCs w:val="24"/>
          <w:u w:val="single"/>
        </w:rPr>
        <w:t>　　　　　　　　　　</w:t>
      </w:r>
    </w:p>
    <w:p>
      <w:pPr>
        <w:spacing w:line="460" w:lineRule="exact"/>
        <w:rPr>
          <w:rFonts w:hint="eastAsia" w:ascii="Times New Roman" w:hAnsi="Times New Roman" w:eastAsia="宋体" w:cs="宋体"/>
          <w:b/>
          <w:bCs/>
          <w:sz w:val="24"/>
          <w:szCs w:val="24"/>
        </w:rPr>
      </w:pP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hint="eastAsia" w:ascii="Times New Roman" w:hAnsi="Times New Roman" w:eastAsia="宋体" w:cs="宋体"/>
          <w:bCs/>
          <w:sz w:val="24"/>
          <w:szCs w:val="24"/>
        </w:rPr>
      </w:pPr>
      <w:r>
        <w:rPr>
          <w:rFonts w:hint="eastAsia" w:ascii="Times New Roman" w:hAnsi="Times New Roman" w:eastAsia="宋体" w:cs="宋体"/>
          <w:bCs/>
          <w:sz w:val="24"/>
          <w:szCs w:val="24"/>
        </w:rPr>
        <w:t>授权方</w:t>
      </w: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hint="eastAsia" w:ascii="Times New Roman" w:hAnsi="Times New Roman" w:eastAsia="宋体" w:cs="宋体"/>
          <w:bCs/>
          <w:sz w:val="24"/>
          <w:szCs w:val="24"/>
        </w:rPr>
      </w:pPr>
      <w:r>
        <w:rPr>
          <w:rFonts w:hint="eastAsia" w:ascii="Times New Roman" w:hAnsi="Times New Roman" w:eastAsia="宋体" w:cs="宋体"/>
          <w:bCs/>
          <w:sz w:val="24"/>
          <w:szCs w:val="24"/>
        </w:rPr>
        <w:t>投标人名称：</w:t>
      </w:r>
      <w:r>
        <w:rPr>
          <w:rFonts w:hint="eastAsia" w:ascii="Times New Roman" w:hAnsi="Times New Roman" w:eastAsia="宋体" w:cs="宋体"/>
          <w:bCs/>
          <w:sz w:val="24"/>
          <w:szCs w:val="24"/>
          <w:u w:val="single"/>
        </w:rPr>
        <w:t>　　（全称并加盖公章）　</w:t>
      </w: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hint="eastAsia" w:ascii="Times New Roman" w:hAnsi="Times New Roman" w:eastAsia="宋体" w:cs="宋体"/>
          <w:bCs/>
          <w:sz w:val="24"/>
          <w:szCs w:val="24"/>
        </w:rPr>
      </w:pPr>
      <w:r>
        <w:rPr>
          <w:rFonts w:hint="eastAsia" w:ascii="Times New Roman" w:hAnsi="Times New Roman" w:eastAsia="宋体" w:cs="宋体"/>
          <w:bCs/>
          <w:sz w:val="24"/>
          <w:szCs w:val="24"/>
        </w:rPr>
        <w:t>法定代表人签字或盖章：</w:t>
      </w:r>
      <w:r>
        <w:rPr>
          <w:rFonts w:hint="eastAsia" w:ascii="Times New Roman" w:hAnsi="Times New Roman" w:eastAsia="宋体" w:cs="宋体"/>
          <w:bCs/>
          <w:sz w:val="24"/>
          <w:szCs w:val="24"/>
          <w:u w:val="single"/>
        </w:rPr>
        <w:t>　　　　　　　</w:t>
      </w: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hint="eastAsia" w:ascii="Times New Roman" w:hAnsi="Times New Roman" w:eastAsia="宋体" w:cs="宋体"/>
          <w:bCs/>
          <w:sz w:val="24"/>
          <w:szCs w:val="24"/>
          <w:u w:val="single"/>
        </w:rPr>
      </w:pPr>
      <w:r>
        <w:rPr>
          <w:rFonts w:hint="eastAsia" w:ascii="Times New Roman" w:hAnsi="Times New Roman" w:eastAsia="宋体" w:cs="宋体"/>
          <w:bCs/>
          <w:sz w:val="24"/>
          <w:szCs w:val="24"/>
        </w:rPr>
        <w:t>日　　期：</w:t>
      </w:r>
      <w:r>
        <w:rPr>
          <w:rFonts w:hint="eastAsia" w:ascii="Times New Roman" w:hAnsi="Times New Roman" w:eastAsia="宋体" w:cs="宋体"/>
          <w:bCs/>
          <w:sz w:val="24"/>
          <w:szCs w:val="24"/>
          <w:u w:val="single"/>
        </w:rPr>
        <w:t>　　　　　　　　　　　　　</w:t>
      </w:r>
    </w:p>
    <w:p>
      <w:pPr>
        <w:keepNext w:val="0"/>
        <w:keepLines w:val="0"/>
        <w:pageBreakBefore w:val="0"/>
        <w:widowControl w:val="0"/>
        <w:kinsoku/>
        <w:wordWrap/>
        <w:overflowPunct/>
        <w:topLinePunct w:val="0"/>
        <w:autoSpaceDE/>
        <w:autoSpaceDN/>
        <w:bidi w:val="0"/>
        <w:adjustRightInd w:val="0"/>
        <w:snapToGrid/>
        <w:spacing w:line="460" w:lineRule="exact"/>
        <w:ind w:firstLine="4337" w:firstLineChars="1800"/>
        <w:textAlignment w:val="baseline"/>
        <w:outlineLvl w:val="9"/>
        <w:rPr>
          <w:rFonts w:hint="eastAsia" w:ascii="Times New Roman" w:hAnsi="Times New Roman" w:eastAsia="宋体" w:cs="宋体"/>
          <w:b/>
          <w:bCs/>
          <w:sz w:val="24"/>
          <w:szCs w:val="24"/>
        </w:rPr>
      </w:pP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hint="eastAsia" w:ascii="Times New Roman" w:hAnsi="Times New Roman" w:eastAsia="宋体" w:cs="宋体"/>
          <w:bCs/>
          <w:sz w:val="24"/>
          <w:szCs w:val="24"/>
        </w:rPr>
      </w:pPr>
      <w:r>
        <w:rPr>
          <w:rFonts w:hint="eastAsia" w:ascii="Times New Roman" w:hAnsi="Times New Roman" w:eastAsia="宋体" w:cs="宋体"/>
          <w:bCs/>
          <w:sz w:val="24"/>
          <w:szCs w:val="24"/>
        </w:rPr>
        <w:t>接受授权方</w:t>
      </w: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hint="eastAsia" w:ascii="Times New Roman" w:hAnsi="Times New Roman" w:eastAsia="宋体" w:cs="宋体"/>
          <w:bCs/>
          <w:sz w:val="24"/>
          <w:szCs w:val="24"/>
        </w:rPr>
      </w:pPr>
      <w:r>
        <w:rPr>
          <w:rFonts w:hint="eastAsia" w:ascii="Times New Roman" w:hAnsi="Times New Roman" w:eastAsia="宋体" w:cs="宋体"/>
          <w:bCs/>
          <w:sz w:val="24"/>
          <w:szCs w:val="24"/>
        </w:rPr>
        <w:t>投标人代表签字：</w:t>
      </w:r>
      <w:r>
        <w:rPr>
          <w:rFonts w:hint="eastAsia" w:ascii="Times New Roman" w:hAnsi="Times New Roman" w:eastAsia="宋体" w:cs="宋体"/>
          <w:bCs/>
          <w:sz w:val="24"/>
          <w:szCs w:val="24"/>
          <w:u w:val="single"/>
        </w:rPr>
        <w:t>　　　　　　　　　　</w:t>
      </w: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hint="eastAsia" w:ascii="Times New Roman" w:hAnsi="Times New Roman" w:eastAsia="宋体" w:cs="宋体"/>
          <w:bCs/>
          <w:sz w:val="24"/>
          <w:szCs w:val="24"/>
          <w:u w:val="single"/>
        </w:rPr>
      </w:pPr>
      <w:r>
        <w:rPr>
          <w:rFonts w:hint="eastAsia" w:ascii="Times New Roman" w:hAnsi="Times New Roman" w:eastAsia="宋体" w:cs="宋体"/>
          <w:bCs/>
          <w:sz w:val="24"/>
          <w:szCs w:val="24"/>
        </w:rPr>
        <w:t>日　　期：</w:t>
      </w:r>
      <w:r>
        <w:rPr>
          <w:rFonts w:hint="eastAsia" w:ascii="Times New Roman" w:hAnsi="Times New Roman" w:eastAsia="宋体" w:cs="宋体"/>
          <w:bCs/>
          <w:sz w:val="24"/>
          <w:szCs w:val="24"/>
          <w:u w:val="single"/>
        </w:rPr>
        <w:t>　　　　　　　　　　　　　</w:t>
      </w:r>
    </w:p>
    <w:p>
      <w:pPr>
        <w:keepNext w:val="0"/>
        <w:keepLines w:val="0"/>
        <w:pageBreakBefore w:val="0"/>
        <w:widowControl w:val="0"/>
        <w:kinsoku/>
        <w:wordWrap/>
        <w:overflowPunct/>
        <w:topLinePunct w:val="0"/>
        <w:autoSpaceDE/>
        <w:autoSpaceDN/>
        <w:bidi w:val="0"/>
        <w:adjustRightInd w:val="0"/>
        <w:snapToGrid/>
        <w:spacing w:line="460" w:lineRule="exact"/>
        <w:textAlignment w:val="baseline"/>
        <w:outlineLvl w:val="9"/>
        <w:rPr>
          <w:rFonts w:hint="eastAsia" w:ascii="Times New Roman" w:hAnsi="Times New Roman" w:eastAsia="宋体" w:cs="宋体"/>
          <w:bCs/>
          <w:sz w:val="24"/>
          <w:szCs w:val="24"/>
          <w:u w:val="single"/>
        </w:rPr>
      </w:pPr>
      <w:r>
        <w:rPr>
          <w:rFonts w:hint="eastAsia" w:ascii="Times New Roman" w:hAnsi="Times New Roman" w:eastAsia="宋体" w:cs="宋体"/>
          <w:bCs/>
          <w:sz w:val="24"/>
          <w:szCs w:val="24"/>
          <w:u w:val="single"/>
        </w:rPr>
        <w:br w:type="page"/>
      </w:r>
    </w:p>
    <w:p>
      <w:pPr>
        <w:keepNext w:val="0"/>
        <w:keepLines w:val="0"/>
        <w:pageBreakBefore w:val="0"/>
        <w:widowControl w:val="0"/>
        <w:kinsoku/>
        <w:wordWrap/>
        <w:overflowPunct/>
        <w:topLinePunct w:val="0"/>
        <w:autoSpaceDE/>
        <w:autoSpaceDN/>
        <w:bidi w:val="0"/>
        <w:adjustRightInd w:val="0"/>
        <w:snapToGrid/>
        <w:spacing w:line="460" w:lineRule="exact"/>
        <w:textAlignment w:val="baseline"/>
        <w:outlineLvl w:val="9"/>
        <w:rPr>
          <w:rFonts w:hint="eastAsia" w:ascii="Times New Roman" w:hAnsi="Times New Roman" w:eastAsia="宋体" w:cs="宋体"/>
          <w:bCs/>
          <w:sz w:val="24"/>
          <w:szCs w:val="24"/>
          <w:u w:val="none"/>
          <w:lang w:val="en-US" w:eastAsia="zh-CN"/>
        </w:rPr>
      </w:pPr>
      <w:r>
        <w:rPr>
          <w:rFonts w:hint="eastAsia" w:ascii="Times New Roman" w:hAnsi="Times New Roman" w:eastAsia="宋体" w:cs="宋体"/>
          <w:bCs/>
          <w:sz w:val="24"/>
          <w:szCs w:val="24"/>
          <w:u w:val="none"/>
          <w:lang w:eastAsia="zh-CN"/>
        </w:rPr>
        <w:t>附件</w:t>
      </w:r>
      <w:r>
        <w:rPr>
          <w:rFonts w:hint="eastAsia" w:ascii="Times New Roman" w:hAnsi="Times New Roman" w:eastAsia="宋体" w:cs="宋体"/>
          <w:bCs/>
          <w:sz w:val="24"/>
          <w:szCs w:val="24"/>
          <w:u w:val="none"/>
          <w:lang w:val="en-US" w:eastAsia="zh-CN"/>
        </w:rPr>
        <w:t>3：投标报价表（格式）</w:t>
      </w:r>
    </w:p>
    <w:p>
      <w:pPr>
        <w:keepNext w:val="0"/>
        <w:keepLines w:val="0"/>
        <w:pageBreakBefore w:val="0"/>
        <w:widowControl w:val="0"/>
        <w:kinsoku/>
        <w:wordWrap/>
        <w:overflowPunct/>
        <w:topLinePunct w:val="0"/>
        <w:autoSpaceDE/>
        <w:autoSpaceDN/>
        <w:bidi w:val="0"/>
        <w:adjustRightInd w:val="0"/>
        <w:snapToGrid/>
        <w:spacing w:line="460" w:lineRule="exact"/>
        <w:textAlignment w:val="baseline"/>
        <w:outlineLvl w:val="9"/>
        <w:rPr>
          <w:rFonts w:hint="eastAsia" w:ascii="Times New Roman" w:hAnsi="Times New Roman" w:eastAsia="宋体" w:cs="宋体"/>
          <w:bCs/>
          <w:sz w:val="24"/>
          <w:szCs w:val="24"/>
          <w:u w:val="none"/>
          <w:lang w:val="en-US" w:eastAsia="zh-CN"/>
        </w:rPr>
      </w:pPr>
    </w:p>
    <w:p>
      <w:pPr>
        <w:spacing w:afterLines="50" w:line="460" w:lineRule="exact"/>
        <w:jc w:val="center"/>
        <w:rPr>
          <w:rFonts w:hint="eastAsia" w:ascii="Times New Roman" w:hAnsi="Times New Roman" w:eastAsia="宋体" w:cs="宋体"/>
          <w:b/>
          <w:bCs/>
          <w:spacing w:val="20"/>
          <w:sz w:val="28"/>
          <w:szCs w:val="28"/>
          <w:lang w:val="en-US" w:eastAsia="zh-CN"/>
        </w:rPr>
      </w:pPr>
      <w:r>
        <w:rPr>
          <w:rFonts w:hint="eastAsia" w:ascii="Times New Roman" w:hAnsi="Times New Roman" w:eastAsia="宋体" w:cs="宋体"/>
          <w:b/>
          <w:bCs/>
          <w:spacing w:val="20"/>
          <w:sz w:val="28"/>
          <w:szCs w:val="28"/>
          <w:lang w:val="en-US" w:eastAsia="zh-CN"/>
        </w:rPr>
        <w:t>投标报价表</w:t>
      </w:r>
    </w:p>
    <w:p>
      <w:pPr>
        <w:keepNext w:val="0"/>
        <w:keepLines w:val="0"/>
        <w:pageBreakBefore w:val="0"/>
        <w:widowControl w:val="0"/>
        <w:kinsoku/>
        <w:wordWrap/>
        <w:overflowPunct/>
        <w:topLinePunct w:val="0"/>
        <w:autoSpaceDE/>
        <w:autoSpaceDN/>
        <w:bidi w:val="0"/>
        <w:adjustRightInd w:val="0"/>
        <w:snapToGrid/>
        <w:spacing w:line="460" w:lineRule="exact"/>
        <w:jc w:val="center"/>
        <w:textAlignment w:val="baseline"/>
        <w:outlineLvl w:val="9"/>
        <w:rPr>
          <w:rFonts w:hint="eastAsia" w:ascii="Times New Roman" w:hAnsi="Times New Roman" w:eastAsia="宋体" w:cs="宋体"/>
          <w:bCs/>
          <w:sz w:val="24"/>
          <w:szCs w:val="24"/>
          <w:u w:val="none"/>
          <w:lang w:val="en-US" w:eastAsia="zh-CN"/>
        </w:rPr>
      </w:pPr>
      <w:r>
        <w:rPr>
          <w:rFonts w:hint="eastAsia" w:ascii="Times New Roman" w:hAnsi="Times New Roman" w:eastAsia="宋体" w:cs="宋体"/>
          <w:bCs/>
          <w:sz w:val="24"/>
          <w:szCs w:val="24"/>
          <w:u w:val="none"/>
          <w:lang w:val="en-US" w:eastAsia="zh-CN"/>
        </w:rPr>
        <w:t>项目名称：无烟煤采购　　　　　　　　　　招标编号：2023GY157</w:t>
      </w:r>
    </w:p>
    <w:tbl>
      <w:tblPr>
        <w:tblStyle w:val="13"/>
        <w:tblW w:w="89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9"/>
        <w:gridCol w:w="5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3529"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r>
              <w:rPr>
                <w:rFonts w:hint="eastAsia" w:ascii="Times New Roman" w:hAnsi="Times New Roman" w:eastAsia="宋体" w:cs="宋体"/>
                <w:bCs/>
                <w:sz w:val="24"/>
                <w:szCs w:val="24"/>
                <w:u w:val="none"/>
                <w:vertAlign w:val="baseline"/>
                <w:lang w:val="en-US" w:eastAsia="zh-CN"/>
              </w:rPr>
              <w:t>名称</w:t>
            </w:r>
          </w:p>
        </w:tc>
        <w:tc>
          <w:tcPr>
            <w:tcW w:w="543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r>
              <w:rPr>
                <w:rFonts w:hint="eastAsia" w:ascii="Times New Roman" w:hAnsi="Times New Roman" w:eastAsia="宋体" w:cs="宋体"/>
                <w:bCs/>
                <w:sz w:val="24"/>
                <w:szCs w:val="24"/>
                <w:u w:val="none"/>
                <w:vertAlign w:val="baseline"/>
                <w:lang w:val="en-US" w:eastAsia="zh-CN"/>
              </w:rPr>
              <w:t>投标报价内容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3529"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r>
              <w:rPr>
                <w:rFonts w:hint="eastAsia" w:ascii="Times New Roman" w:hAnsi="Times New Roman" w:eastAsia="宋体" w:cs="宋体"/>
                <w:bCs/>
                <w:sz w:val="24"/>
                <w:szCs w:val="24"/>
                <w:u w:val="none"/>
                <w:vertAlign w:val="baseline"/>
                <w:lang w:val="en-US" w:eastAsia="zh-CN"/>
              </w:rPr>
              <w:t>单价（元/吨）</w:t>
            </w:r>
          </w:p>
        </w:tc>
        <w:tc>
          <w:tcPr>
            <w:tcW w:w="543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3529"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r>
              <w:rPr>
                <w:rFonts w:hint="eastAsia" w:ascii="Times New Roman" w:hAnsi="Times New Roman" w:eastAsia="宋体" w:cs="宋体"/>
                <w:bCs/>
                <w:sz w:val="24"/>
                <w:szCs w:val="24"/>
                <w:u w:val="none"/>
                <w:vertAlign w:val="baseline"/>
                <w:lang w:val="en-US" w:eastAsia="zh-CN"/>
              </w:rPr>
              <w:t>可供数量（吨）</w:t>
            </w:r>
          </w:p>
        </w:tc>
        <w:tc>
          <w:tcPr>
            <w:tcW w:w="543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3529"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r>
              <w:rPr>
                <w:rFonts w:hint="eastAsia" w:ascii="Times New Roman" w:hAnsi="Times New Roman" w:eastAsia="宋体" w:cs="宋体"/>
                <w:bCs/>
                <w:sz w:val="24"/>
                <w:szCs w:val="24"/>
                <w:u w:val="none"/>
                <w:vertAlign w:val="baseline"/>
                <w:lang w:val="en-US" w:eastAsia="zh-CN"/>
              </w:rPr>
              <w:t>产地（矿点）</w:t>
            </w:r>
          </w:p>
        </w:tc>
        <w:tc>
          <w:tcPr>
            <w:tcW w:w="543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3529"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r>
              <w:rPr>
                <w:rFonts w:hint="eastAsia" w:ascii="Times New Roman" w:hAnsi="Times New Roman" w:eastAsia="宋体" w:cs="宋体"/>
                <w:bCs/>
                <w:sz w:val="24"/>
                <w:szCs w:val="24"/>
                <w:u w:val="none"/>
                <w:vertAlign w:val="baseline"/>
                <w:lang w:val="en-US" w:eastAsia="zh-CN"/>
              </w:rPr>
              <w:t>发货地区（火车站名）</w:t>
            </w:r>
          </w:p>
        </w:tc>
        <w:tc>
          <w:tcPr>
            <w:tcW w:w="543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3529"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r>
              <w:rPr>
                <w:rFonts w:hint="eastAsia" w:ascii="Times New Roman" w:hAnsi="Times New Roman" w:eastAsia="宋体" w:cs="宋体"/>
                <w:bCs/>
                <w:sz w:val="24"/>
                <w:szCs w:val="24"/>
                <w:u w:val="none"/>
                <w:vertAlign w:val="baseline"/>
                <w:lang w:val="en-US" w:eastAsia="zh-CN"/>
              </w:rPr>
              <w:t>运输方式</w:t>
            </w:r>
          </w:p>
        </w:tc>
        <w:tc>
          <w:tcPr>
            <w:tcW w:w="5430"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baseline"/>
              <w:outlineLvl w:val="9"/>
              <w:rPr>
                <w:rFonts w:hint="eastAsia" w:ascii="Times New Roman" w:hAnsi="Times New Roman" w:eastAsia="宋体" w:cs="宋体"/>
                <w:bCs/>
                <w:sz w:val="24"/>
                <w:szCs w:val="24"/>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val="0"/>
        <w:snapToGrid/>
        <w:spacing w:line="460" w:lineRule="exact"/>
        <w:jc w:val="both"/>
        <w:textAlignment w:val="baseline"/>
        <w:outlineLvl w:val="9"/>
        <w:rPr>
          <w:rFonts w:hint="eastAsia" w:ascii="Times New Roman" w:hAnsi="Times New Roman" w:eastAsia="宋体" w:cs="宋体"/>
          <w:bCs/>
          <w:sz w:val="24"/>
          <w:szCs w:val="24"/>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jc w:val="left"/>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rPr>
        <w:t>投标人代表：</w:t>
      </w:r>
      <w:r>
        <w:rPr>
          <w:rFonts w:hint="eastAsia" w:ascii="Times New Roman" w:hAnsi="Times New Roman" w:eastAsia="宋体" w:cs="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jc w:val="left"/>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（法定代表人或被授权人签字）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jc w:val="left"/>
        <w:textAlignment w:val="auto"/>
        <w:rPr>
          <w:rFonts w:hint="eastAsia" w:ascii="Times New Roman" w:hAnsi="Times New Roman"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jc w:val="left"/>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rPr>
        <w:t>投标人：</w:t>
      </w:r>
      <w:r>
        <w:rPr>
          <w:rFonts w:hint="eastAsia" w:ascii="Times New Roman" w:hAnsi="Times New Roman" w:eastAsia="宋体" w:cs="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jc w:val="left"/>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w:t>
      </w:r>
      <w:r>
        <w:rPr>
          <w:rFonts w:hint="eastAsia" w:ascii="Times New Roman" w:hAnsi="Times New Roman" w:eastAsia="宋体" w:cs="宋体"/>
          <w:sz w:val="24"/>
          <w:szCs w:val="24"/>
          <w:lang w:eastAsia="zh-CN"/>
        </w:rPr>
        <w:t>加盖单位公章</w:t>
      </w:r>
      <w:r>
        <w:rPr>
          <w:rFonts w:hint="eastAsia" w:ascii="Times New Roman" w:hAnsi="Times New Roman"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jc w:val="left"/>
        <w:textAlignment w:val="auto"/>
        <w:rPr>
          <w:rFonts w:hint="eastAsia" w:ascii="Times New Roman" w:hAnsi="Times New Roman" w:eastAsia="宋体" w:cs="宋体"/>
          <w:sz w:val="24"/>
          <w:szCs w:val="24"/>
        </w:rPr>
      </w:pPr>
    </w:p>
    <w:p>
      <w:pPr>
        <w:keepNext w:val="0"/>
        <w:keepLines w:val="0"/>
        <w:pageBreakBefore w:val="0"/>
        <w:widowControl w:val="0"/>
        <w:kinsoku/>
        <w:wordWrap/>
        <w:overflowPunct/>
        <w:topLinePunct w:val="0"/>
        <w:autoSpaceDE/>
        <w:autoSpaceDN/>
        <w:bidi w:val="0"/>
        <w:adjustRightInd w:val="0"/>
        <w:snapToGrid/>
        <w:spacing w:line="460" w:lineRule="exact"/>
        <w:ind w:firstLine="3360" w:firstLineChars="1400"/>
        <w:textAlignment w:val="baseline"/>
        <w:outlineLvl w:val="9"/>
        <w:rPr>
          <w:rFonts w:hint="eastAsia" w:ascii="Times New Roman" w:hAnsi="Times New Roman" w:eastAsia="宋体" w:cs="宋体"/>
          <w:bCs/>
          <w:sz w:val="24"/>
          <w:szCs w:val="24"/>
          <w:u w:val="none"/>
          <w:lang w:val="en-US" w:eastAsia="zh-CN"/>
        </w:rPr>
      </w:pPr>
      <w:r>
        <w:rPr>
          <w:rFonts w:hint="eastAsia" w:ascii="Times New Roman" w:hAnsi="Times New Roman" w:eastAsia="宋体" w:cs="宋体"/>
          <w:sz w:val="24"/>
          <w:szCs w:val="24"/>
          <w:lang w:eastAsia="zh-CN"/>
        </w:rPr>
        <w:t>日期</w:t>
      </w:r>
      <w:r>
        <w:rPr>
          <w:rFonts w:hint="eastAsia" w:ascii="Times New Roman" w:hAnsi="Times New Roman" w:eastAsia="宋体" w:cs="宋体"/>
          <w:sz w:val="24"/>
          <w:szCs w:val="24"/>
        </w:rPr>
        <w:t>：</w:t>
      </w:r>
      <w:r>
        <w:rPr>
          <w:rFonts w:hint="eastAsia" w:ascii="Times New Roman" w:hAnsi="Times New Roman" w:eastAsia="宋体" w:cs="宋体"/>
          <w:sz w:val="24"/>
          <w:szCs w:val="24"/>
          <w:u w:val="single"/>
        </w:rPr>
        <w:t xml:space="preserve">   </w:t>
      </w:r>
      <w:r>
        <w:rPr>
          <w:rFonts w:hint="eastAsia" w:ascii="Times New Roman" w:hAnsi="Times New Roman" w:eastAsia="宋体" w:cs="宋体"/>
          <w:sz w:val="24"/>
          <w:szCs w:val="24"/>
          <w:u w:val="single"/>
          <w:lang w:val="en-US" w:eastAsia="zh-CN"/>
        </w:rPr>
        <w:t xml:space="preserve">  </w:t>
      </w:r>
      <w:r>
        <w:rPr>
          <w:rFonts w:hint="eastAsia" w:ascii="Times New Roman" w:hAnsi="Times New Roman" w:eastAsia="宋体" w:cs="宋体"/>
          <w:sz w:val="24"/>
          <w:szCs w:val="24"/>
          <w:u w:val="single"/>
        </w:rPr>
        <w:t xml:space="preserve"> </w:t>
      </w:r>
      <w:r>
        <w:rPr>
          <w:rFonts w:hint="eastAsia" w:ascii="Times New Roman" w:hAnsi="Times New Roman" w:eastAsia="宋体" w:cs="宋体"/>
          <w:sz w:val="24"/>
          <w:szCs w:val="24"/>
        </w:rPr>
        <w:t>年</w:t>
      </w:r>
      <w:r>
        <w:rPr>
          <w:rFonts w:hint="eastAsia" w:ascii="Times New Roman" w:hAnsi="Times New Roman" w:eastAsia="宋体" w:cs="宋体"/>
          <w:sz w:val="24"/>
          <w:szCs w:val="24"/>
          <w:u w:val="single"/>
        </w:rPr>
        <w:t xml:space="preserve">    </w:t>
      </w:r>
      <w:r>
        <w:rPr>
          <w:rFonts w:hint="eastAsia" w:ascii="Times New Roman" w:hAnsi="Times New Roman" w:eastAsia="宋体" w:cs="宋体"/>
          <w:sz w:val="24"/>
          <w:szCs w:val="24"/>
        </w:rPr>
        <w:t>月</w:t>
      </w:r>
      <w:r>
        <w:rPr>
          <w:rFonts w:hint="eastAsia" w:ascii="Times New Roman" w:hAnsi="Times New Roman" w:eastAsia="宋体" w:cs="宋体"/>
          <w:sz w:val="24"/>
          <w:szCs w:val="24"/>
          <w:u w:val="single"/>
        </w:rPr>
        <w:t xml:space="preserve">  </w:t>
      </w:r>
      <w:r>
        <w:rPr>
          <w:rFonts w:hint="eastAsia" w:ascii="Times New Roman" w:hAnsi="Times New Roman" w:eastAsia="宋体" w:cs="宋体"/>
          <w:sz w:val="24"/>
          <w:szCs w:val="24"/>
          <w:u w:val="single"/>
        </w:rPr>
        <w:t xml:space="preserve"> </w:t>
      </w:r>
      <w:r>
        <w:rPr>
          <w:rFonts w:hint="eastAsia" w:ascii="Times New Roman" w:hAnsi="Times New Roman" w:eastAsia="宋体" w:cs="宋体"/>
          <w:sz w:val="24"/>
          <w:szCs w:val="24"/>
          <w:u w:val="single"/>
        </w:rPr>
        <w:t xml:space="preserve"> </w:t>
      </w:r>
      <w:r>
        <w:rPr>
          <w:rFonts w:hint="eastAsia" w:ascii="Times New Roman" w:hAnsi="Times New Roman" w:eastAsia="宋体" w:cs="宋体"/>
          <w:sz w:val="24"/>
          <w:szCs w:val="24"/>
        </w:rPr>
        <w:t>日</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3GY157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6FC319A9"/>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2023-07-21T04:29:54Z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