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17" w:lineRule="atLeast"/>
        <w:ind w:left="0" w:right="0" w:firstLine="0"/>
        <w:jc w:val="center"/>
        <w:textAlignment w:val="center"/>
        <w:rPr>
          <w:rFonts w:hint="eastAsia" w:ascii="微软雅黑" w:hAnsi="微软雅黑" w:eastAsia="微软雅黑" w:cs="微软雅黑"/>
          <w:i w:val="0"/>
          <w:iCs w:val="0"/>
          <w:caps w:val="0"/>
          <w:color w:val="262626"/>
          <w:spacing w:val="0"/>
          <w:kern w:val="0"/>
          <w:sz w:val="36"/>
          <w:szCs w:val="36"/>
          <w:shd w:val="clear" w:fill="FFFFFF"/>
          <w:lang w:val="en-US" w:eastAsia="zh-CN" w:bidi="ar"/>
        </w:rPr>
      </w:pPr>
      <w:r>
        <w:rPr>
          <w:rFonts w:hint="eastAsia" w:ascii="微软雅黑" w:hAnsi="微软雅黑" w:eastAsia="微软雅黑" w:cs="微软雅黑"/>
          <w:i w:val="0"/>
          <w:iCs w:val="0"/>
          <w:caps w:val="0"/>
          <w:color w:val="262626"/>
          <w:spacing w:val="0"/>
          <w:kern w:val="0"/>
          <w:sz w:val="36"/>
          <w:szCs w:val="36"/>
          <w:shd w:val="clear" w:fill="FFFFFF"/>
          <w:lang w:val="en-US" w:eastAsia="zh-CN" w:bidi="ar"/>
        </w:rPr>
        <w:t>2023GQ003广州青纸包装材料有限公司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17" w:lineRule="atLeast"/>
        <w:ind w:left="0" w:right="0" w:firstLine="0"/>
        <w:jc w:val="center"/>
        <w:textAlignment w:val="center"/>
        <w:rPr>
          <w:rFonts w:ascii="微软雅黑" w:hAnsi="微软雅黑" w:eastAsia="微软雅黑" w:cs="微软雅黑"/>
          <w:i w:val="0"/>
          <w:iCs w:val="0"/>
          <w:caps w:val="0"/>
          <w:color w:val="262626"/>
          <w:spacing w:val="0"/>
          <w:sz w:val="36"/>
          <w:szCs w:val="36"/>
        </w:rPr>
      </w:pPr>
      <w:r>
        <w:rPr>
          <w:rFonts w:hint="eastAsia" w:ascii="微软雅黑" w:hAnsi="微软雅黑" w:eastAsia="微软雅黑" w:cs="微软雅黑"/>
          <w:i w:val="0"/>
          <w:iCs w:val="0"/>
          <w:caps w:val="0"/>
          <w:color w:val="262626"/>
          <w:spacing w:val="0"/>
          <w:kern w:val="0"/>
          <w:sz w:val="36"/>
          <w:szCs w:val="36"/>
          <w:shd w:val="clear" w:fill="FFFFFF"/>
          <w:lang w:val="en-US" w:eastAsia="zh-CN" w:bidi="ar"/>
        </w:rPr>
        <w:t>胶水搅拌器及平台制作安装招标文件</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color w:val="auto"/>
          <w:sz w:val="24"/>
          <w:szCs w:val="24"/>
          <w:lang w:val="en-US" w:eastAsia="zh-CN"/>
        </w:rPr>
      </w:pP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广州青纸包装材料有限公司制袋机胶水搅拌器及平台的建设</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20" w:lineRule="exact"/>
        <w:ind w:left="479" w:leftChars="228" w:firstLine="0" w:firstLineChars="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2.1</w:t>
      </w:r>
      <w:r>
        <w:rPr>
          <w:rFonts w:hint="eastAsia" w:ascii="Times New Roman" w:hAnsi="Times New Roman"/>
          <w:b w:val="0"/>
          <w:bCs/>
          <w:color w:val="auto"/>
          <w:sz w:val="24"/>
          <w:szCs w:val="24"/>
          <w:lang w:val="en-US" w:eastAsia="zh-CN"/>
        </w:rPr>
        <w:t>项目要求：投标人应先到原现场进行实物测绘，按照招标方的要求，到新场地根据新场地的实际情况自行设计符合要求的图纸，并按图报价施工</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2.2</w:t>
      </w:r>
      <w:r>
        <w:rPr>
          <w:rFonts w:hint="eastAsia" w:ascii="Times New Roman" w:hAnsi="Times New Roman"/>
          <w:b w:val="0"/>
          <w:bCs/>
          <w:color w:val="auto"/>
          <w:sz w:val="24"/>
          <w:szCs w:val="24"/>
          <w:lang w:val="en-US" w:eastAsia="zh-CN"/>
        </w:rPr>
        <w:t>建设</w:t>
      </w:r>
      <w:r>
        <w:rPr>
          <w:rFonts w:hint="eastAsia" w:ascii="Times New Roman" w:hAnsi="Times New Roman" w:eastAsia="宋体"/>
          <w:b w:val="0"/>
          <w:bCs/>
          <w:color w:val="auto"/>
          <w:sz w:val="24"/>
          <w:szCs w:val="24"/>
          <w:lang w:eastAsia="zh-CN"/>
        </w:rPr>
        <w:t>内容：</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720" w:firstLineChars="300"/>
        <w:textAlignment w:val="auto"/>
        <w:outlineLvl w:val="9"/>
        <w:rPr>
          <w:rFonts w:hint="default" w:ascii="Times New Roman" w:hAnsi="Times New Roman"/>
          <w:b w:val="0"/>
          <w:bCs/>
          <w:color w:val="auto"/>
          <w:sz w:val="24"/>
          <w:szCs w:val="24"/>
          <w:vertAlign w:val="baseline"/>
          <w:lang w:val="en-US" w:eastAsia="zh-CN"/>
        </w:rPr>
      </w:pPr>
      <w:r>
        <w:rPr>
          <w:rFonts w:hint="eastAsia" w:ascii="Times New Roman" w:hAnsi="Times New Roman" w:cs="Times New Roman"/>
          <w:b w:val="0"/>
          <w:bCs/>
          <w:color w:val="auto"/>
          <w:kern w:val="2"/>
          <w:sz w:val="24"/>
          <w:szCs w:val="24"/>
          <w:vertAlign w:val="baseline"/>
          <w:lang w:val="en-US" w:eastAsia="zh-CN" w:bidi="ar-SA"/>
        </w:rPr>
        <w:t>（1）</w:t>
      </w:r>
      <w:r>
        <w:rPr>
          <w:rFonts w:hint="eastAsia" w:ascii="Times New Roman" w:hAnsi="Times New Roman"/>
          <w:b w:val="0"/>
          <w:bCs/>
          <w:color w:val="auto"/>
          <w:sz w:val="24"/>
          <w:szCs w:val="24"/>
          <w:lang w:val="en-US" w:eastAsia="zh-CN"/>
        </w:rPr>
        <w:t>安装胶水搅拌平台及搅拌系统，二个搅拌器，配备输送和循环系统。</w:t>
      </w:r>
    </w:p>
    <w:p>
      <w:pPr>
        <w:keepNext w:val="0"/>
        <w:keepLines w:val="0"/>
        <w:pageBreakBefore w:val="0"/>
        <w:widowControl w:val="0"/>
        <w:kinsoku/>
        <w:wordWrap/>
        <w:overflowPunct/>
        <w:topLinePunct w:val="0"/>
        <w:autoSpaceDE/>
        <w:autoSpaceDN/>
        <w:bidi w:val="0"/>
        <w:adjustRightInd/>
        <w:snapToGrid/>
        <w:spacing w:line="420" w:lineRule="exact"/>
        <w:ind w:left="855" w:leftChars="341" w:hanging="139" w:hangingChars="58"/>
        <w:textAlignment w:val="auto"/>
        <w:outlineLvl w:val="9"/>
        <w:rPr>
          <w:rFonts w:hint="default" w:ascii="Times New Roman" w:hAnsi="Times New Roman"/>
          <w:b w:val="0"/>
          <w:bCs/>
          <w:color w:val="auto"/>
          <w:sz w:val="24"/>
          <w:szCs w:val="24"/>
          <w:lang w:val="en-US" w:eastAsia="zh-CN"/>
        </w:rPr>
      </w:pPr>
      <w:r>
        <w:rPr>
          <w:rFonts w:hint="eastAsia" w:ascii="Times New Roman" w:hAnsi="Times New Roman"/>
          <w:b w:val="0"/>
          <w:bCs/>
          <w:color w:val="auto"/>
          <w:sz w:val="24"/>
          <w:szCs w:val="24"/>
          <w:lang w:val="en-US" w:eastAsia="zh-CN"/>
        </w:rPr>
        <w:t>（2）根据现场测绘数据，自行设计钢结构安装平台，根据图纸自行安装上述搅拌平台的钢架结构及搅拌系统，平台应保证安全、牢固、稳当，搅拌系统带有泵送和循环功能，搅拌平稳、均匀，搅拌的物料成品符合招标方生产需求。</w:t>
      </w:r>
    </w:p>
    <w:p>
      <w:pPr>
        <w:keepNext w:val="0"/>
        <w:keepLines w:val="0"/>
        <w:pageBreakBefore w:val="0"/>
        <w:widowControl w:val="0"/>
        <w:kinsoku/>
        <w:wordWrap/>
        <w:overflowPunct/>
        <w:topLinePunct w:val="0"/>
        <w:autoSpaceDE/>
        <w:autoSpaceDN/>
        <w:bidi w:val="0"/>
        <w:adjustRightInd/>
        <w:snapToGrid/>
        <w:spacing w:line="420" w:lineRule="exact"/>
        <w:ind w:firstLine="720" w:firstLineChars="300"/>
        <w:textAlignment w:val="auto"/>
        <w:outlineLvl w:val="9"/>
        <w:rPr>
          <w:rFonts w:hint="eastAsia" w:ascii="Times New Roman" w:hAnsi="Times New Roman"/>
          <w:b w:val="0"/>
          <w:bCs/>
          <w:color w:val="auto"/>
          <w:sz w:val="24"/>
          <w:szCs w:val="24"/>
          <w:lang w:val="en-US" w:eastAsia="zh-CN"/>
        </w:rPr>
      </w:pPr>
      <w:r>
        <w:rPr>
          <w:rFonts w:hint="eastAsia" w:ascii="Times New Roman" w:hAnsi="Times New Roman"/>
          <w:b w:val="0"/>
          <w:bCs/>
          <w:color w:val="auto"/>
          <w:sz w:val="24"/>
          <w:szCs w:val="24"/>
          <w:lang w:val="en-US" w:eastAsia="zh-CN"/>
        </w:rPr>
        <w:t>（3）</w:t>
      </w:r>
      <w:r>
        <w:rPr>
          <w:rFonts w:hint="eastAsia" w:ascii="Times New Roman" w:hAnsi="Times New Roman" w:eastAsia="宋体"/>
          <w:b w:val="0"/>
          <w:bCs/>
          <w:color w:val="auto"/>
          <w:sz w:val="24"/>
          <w:szCs w:val="24"/>
          <w:lang w:val="en-US" w:eastAsia="zh-CN"/>
        </w:rPr>
        <w:t>不可预见情况处理</w:t>
      </w:r>
      <w:r>
        <w:rPr>
          <w:rFonts w:hint="eastAsia" w:ascii="Times New Roman" w:hAnsi="Times New Roman"/>
          <w:b w:val="0"/>
          <w:bCs/>
          <w:color w:val="auto"/>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20" w:lineRule="exact"/>
        <w:ind w:left="958" w:leftChars="342" w:hanging="240" w:hangingChars="1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b w:val="0"/>
          <w:bCs/>
          <w:color w:val="auto"/>
          <w:sz w:val="24"/>
          <w:szCs w:val="24"/>
          <w:lang w:val="en-US" w:eastAsia="zh-CN"/>
        </w:rPr>
        <w:t>（4）</w:t>
      </w:r>
      <w:r>
        <w:rPr>
          <w:rFonts w:hint="eastAsia" w:ascii="Times New Roman" w:hAnsi="Times New Roman" w:eastAsia="宋体"/>
          <w:b w:val="0"/>
          <w:bCs/>
          <w:color w:val="auto"/>
          <w:sz w:val="24"/>
          <w:szCs w:val="24"/>
          <w:lang w:val="en-US" w:eastAsia="zh-CN"/>
        </w:rPr>
        <w:t>以上范围所涉及的材料请投标方在投标时在标书中列出数量规格以及材质并加以说明。</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3.主要技术、质量的要求</w:t>
      </w:r>
    </w:p>
    <w:p>
      <w:pPr>
        <w:keepNext w:val="0"/>
        <w:keepLines w:val="0"/>
        <w:pageBreakBefore w:val="0"/>
        <w:widowControl w:val="0"/>
        <w:kinsoku/>
        <w:wordWrap/>
        <w:overflowPunct/>
        <w:topLinePunct w:val="0"/>
        <w:autoSpaceDE/>
        <w:autoSpaceDN/>
        <w:bidi w:val="0"/>
        <w:adjustRightInd/>
        <w:snapToGrid/>
        <w:spacing w:line="420" w:lineRule="exact"/>
        <w:ind w:left="479" w:leftChars="228" w:firstLine="0" w:firstLineChars="0"/>
        <w:textAlignment w:val="auto"/>
        <w:outlineLvl w:val="9"/>
        <w:rPr>
          <w:rFonts w:hint="eastAsia" w:ascii="Times New Roman" w:hAnsi="Times New Roman"/>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w:t>
      </w:r>
      <w:r>
        <w:rPr>
          <w:rFonts w:hint="eastAsia" w:ascii="Times New Roman" w:hAnsi="Times New Roman"/>
          <w:b w:val="0"/>
          <w:bCs w:val="0"/>
          <w:color w:val="auto"/>
          <w:sz w:val="24"/>
          <w:szCs w:val="24"/>
          <w:lang w:val="en-US" w:eastAsia="zh-CN"/>
        </w:rPr>
        <w:t>1搅拌平台规格长3.5米宽2米高1.8米，周围带有1.2米高度护栏，设置80厘米宽的带护栏攀爬楼梯，平台钢架立柱横梁等结构应使用10#以上的槽钢，平台表面应使用不小于3毫米厚的花纹钢板覆盖，平台整体上三道以上的防锈保护漆。</w:t>
      </w:r>
    </w:p>
    <w:p>
      <w:pPr>
        <w:keepNext w:val="0"/>
        <w:keepLines w:val="0"/>
        <w:pageBreakBefore w:val="0"/>
        <w:widowControl w:val="0"/>
        <w:kinsoku/>
        <w:wordWrap/>
        <w:overflowPunct/>
        <w:topLinePunct w:val="0"/>
        <w:autoSpaceDE/>
        <w:autoSpaceDN/>
        <w:bidi w:val="0"/>
        <w:adjustRightInd/>
        <w:snapToGrid/>
        <w:spacing w:line="420" w:lineRule="exact"/>
        <w:ind w:left="479" w:leftChars="228" w:firstLine="0" w:firstLineChars="0"/>
        <w:textAlignment w:val="auto"/>
        <w:outlineLvl w:val="9"/>
        <w:rPr>
          <w:rFonts w:hint="eastAsia" w:ascii="Times New Roman" w:hAnsi="Times New Roman"/>
          <w:b w:val="0"/>
          <w:bCs w:val="0"/>
          <w:color w:val="auto"/>
          <w:sz w:val="24"/>
          <w:szCs w:val="24"/>
          <w:lang w:val="en-US" w:eastAsia="zh-CN"/>
        </w:rPr>
      </w:pPr>
      <w:r>
        <w:rPr>
          <w:rFonts w:hint="eastAsia" w:ascii="Times New Roman" w:hAnsi="Times New Roman"/>
          <w:b w:val="0"/>
          <w:bCs w:val="0"/>
          <w:color w:val="auto"/>
          <w:sz w:val="24"/>
          <w:szCs w:val="24"/>
          <w:lang w:val="en-US" w:eastAsia="zh-CN"/>
        </w:rPr>
        <w:t>3.2所有搅拌桶应使用5毫米厚度的型号为304不锈钢制作，所有属于搅拌桶内与搅拌物接触的部件均应全部使用304以上的不锈钢材料，规格要求如下：</w:t>
      </w:r>
    </w:p>
    <w:tbl>
      <w:tblPr>
        <w:tblStyle w:val="8"/>
        <w:tblpPr w:leftFromText="180" w:rightFromText="180" w:vertAnchor="text" w:horzAnchor="page" w:tblpXSpec="center" w:tblpY="113"/>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0"/>
        <w:gridCol w:w="1813"/>
        <w:gridCol w:w="1305"/>
        <w:gridCol w:w="1566"/>
        <w:gridCol w:w="1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val="0"/>
                <w:color w:val="auto"/>
                <w:sz w:val="24"/>
                <w:szCs w:val="24"/>
                <w:vertAlign w:val="baseline"/>
                <w:lang w:val="en-US" w:eastAsia="zh-CN"/>
              </w:rPr>
            </w:pPr>
            <w:r>
              <w:rPr>
                <w:rFonts w:hint="eastAsia" w:ascii="Times New Roman" w:hAnsi="Times New Roman"/>
                <w:b w:val="0"/>
                <w:bCs w:val="0"/>
                <w:color w:val="auto"/>
                <w:sz w:val="24"/>
                <w:szCs w:val="24"/>
                <w:vertAlign w:val="baseline"/>
                <w:lang w:val="en-US" w:eastAsia="zh-CN"/>
              </w:rPr>
              <w:t>名称</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val="0"/>
                <w:color w:val="auto"/>
                <w:sz w:val="24"/>
                <w:szCs w:val="24"/>
                <w:vertAlign w:val="baseline"/>
                <w:lang w:val="en-US" w:eastAsia="zh-CN"/>
              </w:rPr>
            </w:pPr>
            <w:r>
              <w:rPr>
                <w:rFonts w:hint="eastAsia" w:ascii="Times New Roman" w:hAnsi="Times New Roman"/>
                <w:b w:val="0"/>
                <w:bCs w:val="0"/>
                <w:color w:val="auto"/>
                <w:sz w:val="24"/>
                <w:szCs w:val="24"/>
                <w:vertAlign w:val="baseline"/>
                <w:lang w:val="en-US" w:eastAsia="zh-CN"/>
              </w:rPr>
              <w:t>规格型号</w:t>
            </w:r>
          </w:p>
        </w:tc>
        <w:tc>
          <w:tcPr>
            <w:tcW w:w="1305"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val="0"/>
                <w:color w:val="auto"/>
                <w:sz w:val="24"/>
                <w:szCs w:val="24"/>
                <w:vertAlign w:val="baseline"/>
                <w:lang w:val="en-US" w:eastAsia="zh-CN"/>
              </w:rPr>
            </w:pPr>
            <w:r>
              <w:rPr>
                <w:rFonts w:hint="eastAsia" w:ascii="Times New Roman" w:hAnsi="Times New Roman"/>
                <w:b w:val="0"/>
                <w:bCs w:val="0"/>
                <w:color w:val="auto"/>
                <w:sz w:val="24"/>
                <w:szCs w:val="24"/>
                <w:vertAlign w:val="baseline"/>
                <w:lang w:val="en-US" w:eastAsia="zh-CN"/>
              </w:rPr>
              <w:t>数量</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val="0"/>
                <w:color w:val="auto"/>
                <w:sz w:val="24"/>
                <w:szCs w:val="24"/>
                <w:vertAlign w:val="baseline"/>
                <w:lang w:val="en-US" w:eastAsia="zh-CN"/>
              </w:rPr>
            </w:pPr>
            <w:r>
              <w:rPr>
                <w:rFonts w:hint="eastAsia" w:ascii="Times New Roman" w:hAnsi="Times New Roman"/>
                <w:b w:val="0"/>
                <w:bCs w:val="0"/>
                <w:color w:val="auto"/>
                <w:sz w:val="24"/>
                <w:szCs w:val="24"/>
                <w:vertAlign w:val="baseline"/>
                <w:lang w:val="en-US" w:eastAsia="zh-CN"/>
              </w:rPr>
              <w:t>电机</w:t>
            </w:r>
          </w:p>
        </w:tc>
        <w:tc>
          <w:tcPr>
            <w:tcW w:w="1778"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val="0"/>
                <w:color w:val="auto"/>
                <w:sz w:val="24"/>
                <w:szCs w:val="24"/>
                <w:vertAlign w:val="baseline"/>
                <w:lang w:val="en-US" w:eastAsia="zh-CN"/>
              </w:rPr>
            </w:pPr>
            <w:r>
              <w:rPr>
                <w:rFonts w:hint="eastAsia" w:ascii="Times New Roman" w:hAnsi="Times New Roman"/>
                <w:b w:val="0"/>
                <w:bCs w:val="0"/>
                <w:color w:val="auto"/>
                <w:sz w:val="24"/>
                <w:szCs w:val="24"/>
                <w:vertAlign w:val="baseline"/>
                <w:lang w:val="en-US" w:eastAsia="zh-CN"/>
              </w:rPr>
              <w:t>速度控制方式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val="0"/>
                <w:color w:val="auto"/>
                <w:sz w:val="24"/>
                <w:szCs w:val="24"/>
                <w:vertAlign w:val="baseline"/>
                <w:lang w:val="en-US" w:eastAsia="zh-CN"/>
              </w:rPr>
            </w:pPr>
            <w:r>
              <w:rPr>
                <w:rFonts w:hint="eastAsia" w:ascii="Times New Roman" w:hAnsi="Times New Roman"/>
                <w:b w:val="0"/>
                <w:bCs w:val="0"/>
                <w:color w:val="auto"/>
                <w:sz w:val="24"/>
                <w:szCs w:val="24"/>
                <w:vertAlign w:val="baseline"/>
                <w:lang w:val="en-US" w:eastAsia="zh-CN"/>
              </w:rPr>
              <w:t>主搅拌桶</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val="0"/>
                <w:color w:val="auto"/>
                <w:sz w:val="24"/>
                <w:szCs w:val="24"/>
                <w:vertAlign w:val="baseline"/>
                <w:lang w:val="en-US" w:eastAsia="zh-CN"/>
              </w:rPr>
            </w:pPr>
            <w:r>
              <w:rPr>
                <w:rFonts w:hint="eastAsia" w:ascii="微软雅黑" w:hAnsi="微软雅黑" w:eastAsia="微软雅黑" w:cs="微软雅黑"/>
                <w:b w:val="0"/>
                <w:bCs w:val="0"/>
                <w:color w:val="auto"/>
                <w:sz w:val="24"/>
                <w:szCs w:val="24"/>
                <w:vertAlign w:val="baseline"/>
                <w:lang w:val="en-US" w:eastAsia="zh-CN"/>
              </w:rPr>
              <w:t>∅</w:t>
            </w:r>
            <w:r>
              <w:rPr>
                <w:rFonts w:hint="eastAsia" w:ascii="Times New Roman" w:hAnsi="Times New Roman"/>
                <w:b w:val="0"/>
                <w:bCs w:val="0"/>
                <w:color w:val="auto"/>
                <w:sz w:val="24"/>
                <w:szCs w:val="24"/>
                <w:vertAlign w:val="baseline"/>
                <w:lang w:val="en-US" w:eastAsia="zh-CN"/>
              </w:rPr>
              <w:t>1000</w:t>
            </w:r>
            <w:r>
              <w:rPr>
                <w:rFonts w:hint="default" w:ascii="Arial" w:hAnsi="Arial" w:cs="Arial"/>
                <w:b w:val="0"/>
                <w:bCs w:val="0"/>
                <w:color w:val="auto"/>
                <w:sz w:val="24"/>
                <w:szCs w:val="24"/>
                <w:vertAlign w:val="baseline"/>
                <w:lang w:val="en-US" w:eastAsia="zh-CN"/>
              </w:rPr>
              <w:t>×</w:t>
            </w:r>
            <w:r>
              <w:rPr>
                <w:rFonts w:hint="eastAsia" w:ascii="Times New Roman" w:hAnsi="Times New Roman"/>
                <w:b w:val="0"/>
                <w:bCs w:val="0"/>
                <w:color w:val="auto"/>
                <w:sz w:val="24"/>
                <w:szCs w:val="24"/>
                <w:vertAlign w:val="baseline"/>
                <w:lang w:val="en-US" w:eastAsia="zh-CN"/>
              </w:rPr>
              <w:t>1200</w:t>
            </w:r>
          </w:p>
        </w:tc>
        <w:tc>
          <w:tcPr>
            <w:tcW w:w="1305"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val="0"/>
                <w:color w:val="auto"/>
                <w:sz w:val="24"/>
                <w:szCs w:val="24"/>
                <w:vertAlign w:val="baseline"/>
                <w:lang w:val="en-US" w:eastAsia="zh-CN"/>
              </w:rPr>
            </w:pPr>
            <w:r>
              <w:rPr>
                <w:rFonts w:hint="eastAsia" w:ascii="Times New Roman" w:hAnsi="Times New Roman"/>
                <w:b w:val="0"/>
                <w:bCs w:val="0"/>
                <w:color w:val="auto"/>
                <w:sz w:val="24"/>
                <w:szCs w:val="24"/>
                <w:vertAlign w:val="baseline"/>
                <w:lang w:val="en-US" w:eastAsia="zh-CN"/>
              </w:rPr>
              <w:t>2</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val="0"/>
                <w:color w:val="auto"/>
                <w:sz w:val="24"/>
                <w:szCs w:val="24"/>
                <w:vertAlign w:val="baseline"/>
                <w:lang w:val="en-US" w:eastAsia="zh-CN"/>
              </w:rPr>
            </w:pPr>
            <w:r>
              <w:rPr>
                <w:rFonts w:hint="eastAsia" w:ascii="Times New Roman" w:hAnsi="Times New Roman"/>
                <w:b w:val="0"/>
                <w:bCs w:val="0"/>
                <w:color w:val="auto"/>
                <w:sz w:val="24"/>
                <w:szCs w:val="24"/>
                <w:vertAlign w:val="baseline"/>
                <w:lang w:val="en-US" w:eastAsia="zh-CN"/>
              </w:rPr>
              <w:t>4级15kw</w:t>
            </w:r>
          </w:p>
        </w:tc>
        <w:tc>
          <w:tcPr>
            <w:tcW w:w="1778"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val="0"/>
                <w:color w:val="auto"/>
                <w:sz w:val="24"/>
                <w:szCs w:val="24"/>
                <w:vertAlign w:val="baseline"/>
                <w:lang w:val="en-US" w:eastAsia="zh-CN"/>
              </w:rPr>
            </w:pPr>
            <w:r>
              <w:rPr>
                <w:rFonts w:hint="eastAsia" w:ascii="Times New Roman" w:hAnsi="Times New Roman"/>
                <w:b w:val="0"/>
                <w:bCs w:val="0"/>
                <w:color w:val="auto"/>
                <w:sz w:val="24"/>
                <w:szCs w:val="24"/>
                <w:vertAlign w:val="baseline"/>
                <w:lang w:val="en-US" w:eastAsia="zh-CN"/>
              </w:rPr>
              <w:t>变频器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20" w:type="dxa"/>
            <w:vAlign w:val="center"/>
          </w:tcPr>
          <w:p>
            <w:pPr>
              <w:keepNext w:val="0"/>
              <w:keepLines w:val="0"/>
              <w:pageBreakBefore w:val="0"/>
              <w:widowControl w:val="0"/>
              <w:tabs>
                <w:tab w:val="left" w:pos="471"/>
              </w:tabs>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val="0"/>
                <w:color w:val="auto"/>
                <w:sz w:val="24"/>
                <w:szCs w:val="24"/>
                <w:vertAlign w:val="baseline"/>
                <w:lang w:val="en-US" w:eastAsia="zh-CN"/>
              </w:rPr>
            </w:pPr>
            <w:r>
              <w:rPr>
                <w:rFonts w:hint="eastAsia" w:ascii="Times New Roman" w:hAnsi="Times New Roman"/>
                <w:b w:val="0"/>
                <w:bCs w:val="0"/>
                <w:color w:val="auto"/>
                <w:sz w:val="24"/>
                <w:szCs w:val="24"/>
                <w:vertAlign w:val="baseline"/>
                <w:lang w:val="en-US" w:eastAsia="zh-CN"/>
              </w:rPr>
              <w:t>循环泵</w:t>
            </w:r>
          </w:p>
        </w:tc>
        <w:tc>
          <w:tcPr>
            <w:tcW w:w="1813"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default" w:ascii="微软雅黑" w:hAnsi="微软雅黑" w:eastAsia="微软雅黑" w:cs="微软雅黑"/>
                <w:b w:val="0"/>
                <w:bCs w:val="0"/>
                <w:color w:val="auto"/>
                <w:sz w:val="24"/>
                <w:szCs w:val="24"/>
                <w:vertAlign w:val="baseline"/>
                <w:lang w:val="en-US" w:eastAsia="zh-CN"/>
              </w:rPr>
            </w:pPr>
            <w:r>
              <w:rPr>
                <w:rFonts w:hint="eastAsia" w:ascii="微软雅黑" w:hAnsi="微软雅黑" w:eastAsia="微软雅黑" w:cs="微软雅黑"/>
                <w:b w:val="0"/>
                <w:bCs w:val="0"/>
                <w:color w:val="auto"/>
                <w:sz w:val="24"/>
                <w:szCs w:val="24"/>
                <w:vertAlign w:val="baseline"/>
                <w:lang w:val="en-US" w:eastAsia="zh-CN"/>
              </w:rPr>
              <w:t>65BPZ-48</w:t>
            </w:r>
          </w:p>
        </w:tc>
        <w:tc>
          <w:tcPr>
            <w:tcW w:w="1305"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val="0"/>
                <w:color w:val="auto"/>
                <w:sz w:val="24"/>
                <w:szCs w:val="24"/>
                <w:vertAlign w:val="baseline"/>
                <w:lang w:val="en-US" w:eastAsia="zh-CN"/>
              </w:rPr>
            </w:pPr>
            <w:r>
              <w:rPr>
                <w:rFonts w:hint="eastAsia" w:ascii="Times New Roman" w:hAnsi="Times New Roman"/>
                <w:b w:val="0"/>
                <w:bCs w:val="0"/>
                <w:color w:val="auto"/>
                <w:sz w:val="24"/>
                <w:szCs w:val="24"/>
                <w:vertAlign w:val="baseline"/>
                <w:lang w:val="en-US" w:eastAsia="zh-CN"/>
              </w:rPr>
              <w:t>1</w:t>
            </w:r>
          </w:p>
        </w:tc>
        <w:tc>
          <w:tcPr>
            <w:tcW w:w="1566"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val="0"/>
                <w:color w:val="auto"/>
                <w:sz w:val="24"/>
                <w:szCs w:val="24"/>
                <w:vertAlign w:val="baseline"/>
                <w:lang w:val="en-US" w:eastAsia="zh-CN"/>
              </w:rPr>
            </w:pPr>
            <w:r>
              <w:rPr>
                <w:rFonts w:hint="eastAsia" w:ascii="Times New Roman" w:hAnsi="Times New Roman"/>
                <w:b w:val="0"/>
                <w:bCs w:val="0"/>
                <w:color w:val="auto"/>
                <w:sz w:val="24"/>
                <w:szCs w:val="24"/>
                <w:vertAlign w:val="baseline"/>
                <w:lang w:val="en-US" w:eastAsia="zh-CN"/>
              </w:rPr>
              <w:t>2级5.5</w:t>
            </w:r>
          </w:p>
        </w:tc>
        <w:tc>
          <w:tcPr>
            <w:tcW w:w="1778" w:type="dxa"/>
            <w:vAlign w:val="center"/>
          </w:tcPr>
          <w:p>
            <w:pPr>
              <w:keepNext w:val="0"/>
              <w:keepLines w:val="0"/>
              <w:pageBreakBefore w:val="0"/>
              <w:widowControl w:val="0"/>
              <w:kinsoku/>
              <w:wordWrap/>
              <w:overflowPunct/>
              <w:topLinePunct w:val="0"/>
              <w:autoSpaceDE/>
              <w:autoSpaceDN/>
              <w:bidi w:val="0"/>
              <w:adjustRightInd/>
              <w:snapToGrid/>
              <w:spacing w:line="420" w:lineRule="exact"/>
              <w:jc w:val="center"/>
              <w:textAlignment w:val="auto"/>
              <w:outlineLvl w:val="9"/>
              <w:rPr>
                <w:rFonts w:hint="default" w:ascii="Times New Roman" w:hAnsi="Times New Roman"/>
                <w:b w:val="0"/>
                <w:bCs w:val="0"/>
                <w:color w:val="auto"/>
                <w:sz w:val="24"/>
                <w:szCs w:val="24"/>
                <w:vertAlign w:val="baseline"/>
                <w:lang w:val="en-US" w:eastAsia="zh-CN"/>
              </w:rPr>
            </w:pPr>
            <w:r>
              <w:rPr>
                <w:rFonts w:hint="eastAsia" w:ascii="Times New Roman" w:hAnsi="Times New Roman"/>
                <w:b w:val="0"/>
                <w:bCs w:val="0"/>
                <w:color w:val="auto"/>
                <w:sz w:val="24"/>
                <w:szCs w:val="24"/>
                <w:vertAlign w:val="baseline"/>
                <w:lang w:val="en-US" w:eastAsia="zh-CN"/>
              </w:rPr>
              <w:t>直接启动</w:t>
            </w:r>
          </w:p>
        </w:tc>
      </w:tr>
    </w:tbl>
    <w:p>
      <w:pPr>
        <w:keepNext w:val="0"/>
        <w:keepLines w:val="0"/>
        <w:pageBreakBefore w:val="0"/>
        <w:widowControl w:val="0"/>
        <w:kinsoku/>
        <w:wordWrap/>
        <w:overflowPunct/>
        <w:topLinePunct w:val="0"/>
        <w:autoSpaceDE/>
        <w:autoSpaceDN/>
        <w:bidi w:val="0"/>
        <w:adjustRightInd/>
        <w:snapToGrid/>
        <w:spacing w:line="420" w:lineRule="exact"/>
        <w:ind w:left="479" w:leftChars="228" w:firstLine="0" w:firstLineChars="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b w:val="0"/>
          <w:bCs w:val="0"/>
          <w:color w:val="auto"/>
          <w:sz w:val="24"/>
          <w:szCs w:val="24"/>
          <w:lang w:val="en-US" w:eastAsia="zh-CN"/>
        </w:rPr>
        <w:t>3.3</w:t>
      </w:r>
      <w:r>
        <w:rPr>
          <w:rFonts w:hint="eastAsia" w:ascii="Times New Roman" w:hAnsi="Times New Roman" w:eastAsia="宋体"/>
          <w:b w:val="0"/>
          <w:bCs w:val="0"/>
          <w:color w:val="auto"/>
          <w:sz w:val="24"/>
          <w:szCs w:val="24"/>
          <w:lang w:val="en-US" w:eastAsia="zh-CN"/>
        </w:rPr>
        <w:t>钢构施工按《钢结构工程施工及验收规范》（GB50205-2001）进行施工。</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w:t>
      </w:r>
      <w:r>
        <w:rPr>
          <w:rFonts w:hint="eastAsia" w:ascii="Times New Roman" w:hAnsi="Times New Roman"/>
          <w:b w:val="0"/>
          <w:bCs w:val="0"/>
          <w:color w:val="auto"/>
          <w:sz w:val="24"/>
          <w:szCs w:val="24"/>
          <w:lang w:val="en-US" w:eastAsia="zh-CN"/>
        </w:rPr>
        <w:t>4</w:t>
      </w:r>
      <w:r>
        <w:rPr>
          <w:rFonts w:hint="eastAsia" w:ascii="Times New Roman" w:hAnsi="Times New Roman" w:eastAsia="宋体"/>
          <w:b w:val="0"/>
          <w:bCs w:val="0"/>
          <w:color w:val="auto"/>
          <w:sz w:val="24"/>
          <w:szCs w:val="24"/>
          <w:lang w:val="en-US" w:eastAsia="zh-CN"/>
        </w:rPr>
        <w:t>高空作业安全技术符合JGJ80-2016《建筑施工高处作业安全技术规范》要求。</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施工工期及地点</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4.1工期：合同签订后</w:t>
      </w:r>
      <w:r>
        <w:rPr>
          <w:rFonts w:hint="eastAsia" w:ascii="Times New Roman" w:hAnsi="Times New Roman"/>
          <w:b w:val="0"/>
          <w:bCs/>
          <w:color w:val="auto"/>
          <w:sz w:val="24"/>
          <w:szCs w:val="24"/>
          <w:lang w:val="en-US" w:eastAsia="zh-CN"/>
        </w:rPr>
        <w:t>20</w:t>
      </w:r>
      <w:r>
        <w:rPr>
          <w:rFonts w:hint="eastAsia" w:ascii="Times New Roman" w:hAnsi="Times New Roman" w:eastAsia="宋体"/>
          <w:b w:val="0"/>
          <w:bCs/>
          <w:color w:val="auto"/>
          <w:sz w:val="24"/>
          <w:szCs w:val="24"/>
          <w:lang w:val="en-US" w:eastAsia="zh-CN"/>
        </w:rPr>
        <w:t>日历天内完成所有工作。</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4.2地点：</w:t>
      </w:r>
      <w:r>
        <w:rPr>
          <w:rFonts w:hint="eastAsia" w:ascii="Times New Roman" w:hAnsi="Times New Roman"/>
          <w:b w:val="0"/>
          <w:bCs/>
          <w:color w:val="auto"/>
          <w:sz w:val="24"/>
          <w:szCs w:val="24"/>
          <w:lang w:val="en-US" w:eastAsia="zh-CN"/>
        </w:rPr>
        <w:t>广东省惠州市闽环纸品</w:t>
      </w:r>
      <w:r>
        <w:rPr>
          <w:rFonts w:hint="eastAsia" w:ascii="Times New Roman" w:hAnsi="Times New Roman" w:eastAsia="宋体"/>
          <w:b w:val="0"/>
          <w:bCs/>
          <w:color w:val="auto"/>
          <w:sz w:val="24"/>
          <w:szCs w:val="24"/>
          <w:lang w:val="en-US" w:eastAsia="zh-CN"/>
        </w:rPr>
        <w:t>股份有限公司指定区域内。</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b w:val="0"/>
          <w:bCs w:val="0"/>
          <w:color w:val="auto"/>
          <w:sz w:val="24"/>
          <w:szCs w:val="24"/>
          <w:lang w:val="en-US" w:eastAsia="zh-CN"/>
        </w:rPr>
        <w:t xml:space="preserve"> </w:t>
      </w:r>
      <w:r>
        <w:rPr>
          <w:rFonts w:hint="eastAsia" w:ascii="Times New Roman" w:hAnsi="Times New Roman" w:eastAsia="宋体"/>
          <w:b w:val="0"/>
          <w:bCs w:val="0"/>
          <w:color w:val="auto"/>
          <w:sz w:val="24"/>
          <w:szCs w:val="24"/>
          <w:lang w:val="en-US" w:eastAsia="zh-CN"/>
        </w:rPr>
        <w:t>投标人应是具有独立法人资格、信用良好的国内企业</w:t>
      </w:r>
      <w:r>
        <w:rPr>
          <w:rFonts w:hint="eastAsia" w:ascii="Times New Roman" w:hAnsi="Times New Roman"/>
          <w:b w:val="0"/>
          <w:bCs w:val="0"/>
          <w:color w:val="auto"/>
          <w:sz w:val="24"/>
          <w:szCs w:val="24"/>
          <w:lang w:val="en-US" w:eastAsia="zh-CN"/>
        </w:rPr>
        <w:t>，设备安装投标人应具有相应的许可资质。</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6.双方职责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6.1招标方负责提供现场照明、水源、施工电源（含费用）。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6.2中标方施工前须办理开工报告。</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6.3中标方包工包料进行施工。</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6.4中标方自备所有施工工具。</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6.5运输费用、起重作业、脚手架、食宿由中标方负责。</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6.6在施工过程中应采取必要的安全防范措施，确保招标方设备的安全，若中标方原因造成设备的损坏，中标方应负责赔偿损失。中标方安全责任自负，承担由于自身安全措施不力造成安全事故的责任和因此产生的费用。</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6.7中标方在施工过程中废弃的物品应堆放在招标方指定的地点并由招标方负责处理。</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6.8中标方施工垃圾应及时清理干净，保持现场整洁。</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eastAsia" w:ascii="Times New Roman" w:hAnsi="Times New Roman" w:eastAsia="宋体"/>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：质量保证期为工程验收合格后12个月，投标人可承诺更长的质保期。</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hint="default"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：项目验收合格后招标方财务部收到全额发票</w:t>
      </w:r>
      <w:r>
        <w:rPr>
          <w:rFonts w:hint="eastAsia" w:ascii="Times New Roman" w:hAnsi="Times New Roman"/>
          <w:b w:val="0"/>
          <w:bCs/>
          <w:color w:val="auto"/>
          <w:sz w:val="24"/>
          <w:szCs w:val="24"/>
          <w:lang w:val="en-US" w:eastAsia="zh-CN"/>
        </w:rPr>
        <w:t>30</w:t>
      </w:r>
      <w:r>
        <w:rPr>
          <w:rFonts w:hint="eastAsia" w:ascii="Times New Roman" w:hAnsi="Times New Roman" w:eastAsia="宋体"/>
          <w:b w:val="0"/>
          <w:bCs/>
          <w:color w:val="auto"/>
          <w:sz w:val="24"/>
          <w:szCs w:val="24"/>
          <w:lang w:eastAsia="zh-CN"/>
        </w:rPr>
        <w:t>天</w:t>
      </w:r>
      <w:r>
        <w:rPr>
          <w:rFonts w:hint="eastAsia" w:ascii="Times New Roman" w:hAnsi="Times New Roman"/>
          <w:b w:val="0"/>
          <w:bCs/>
          <w:color w:val="auto"/>
          <w:sz w:val="24"/>
          <w:szCs w:val="24"/>
          <w:lang w:val="en-US" w:eastAsia="zh-CN"/>
        </w:rPr>
        <w:t>内</w:t>
      </w:r>
      <w:r>
        <w:rPr>
          <w:rFonts w:hint="eastAsia" w:ascii="Times New Roman" w:hAnsi="Times New Roman" w:eastAsia="宋体"/>
          <w:b w:val="0"/>
          <w:bCs/>
          <w:color w:val="auto"/>
          <w:sz w:val="24"/>
          <w:szCs w:val="24"/>
          <w:lang w:eastAsia="zh-CN"/>
        </w:rPr>
        <w:t>支付工程总合同价的90%，质保金为总合同价的10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，在质保期满后三十天内付清，质保金不计利息。人民币报价和结算，中标人须开具增值税专用发票（税率13%、9%必须在标书中说明）。</w:t>
      </w:r>
      <w:r>
        <w:rPr>
          <w:rFonts w:hint="eastAsia" w:ascii="Times New Roman" w:hAnsi="Times New Roman" w:eastAsia="宋体"/>
          <w:b/>
          <w:bCs w:val="0"/>
          <w:color w:val="auto"/>
          <w:sz w:val="24"/>
          <w:szCs w:val="24"/>
          <w:lang w:eastAsia="zh-CN"/>
        </w:rPr>
        <w:t>（本付款方式不得偏离，否则投标将被否决）</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本次招标采取一次性报价方式。</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2报价为含13%或9%增值税专用发票到厂价，以一票制方式结算。</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9.3本项目设置招标控制价为</w:t>
      </w:r>
      <w:r>
        <w:rPr>
          <w:rFonts w:hint="eastAsia" w:ascii="Times New Roman" w:hAnsi="Times New Roman"/>
          <w:b/>
          <w:bCs/>
          <w:color w:val="auto"/>
          <w:sz w:val="24"/>
          <w:szCs w:val="24"/>
          <w:lang w:val="en-US" w:eastAsia="zh-CN"/>
        </w:rPr>
        <w:t>壹</w:t>
      </w:r>
      <w:r>
        <w:rPr>
          <w:rFonts w:hint="eastAsia" w:ascii="Times New Roman" w:hAnsi="Times New Roman" w:eastAsia="宋体"/>
          <w:b/>
          <w:bCs/>
          <w:color w:val="auto"/>
          <w:sz w:val="24"/>
          <w:szCs w:val="24"/>
          <w:lang w:val="en-US" w:eastAsia="zh-CN"/>
        </w:rPr>
        <w:t>拾</w:t>
      </w:r>
      <w:r>
        <w:rPr>
          <w:rFonts w:hint="eastAsia" w:ascii="Times New Roman" w:hAnsi="Times New Roman"/>
          <w:b/>
          <w:bCs/>
          <w:color w:val="auto"/>
          <w:sz w:val="24"/>
          <w:szCs w:val="24"/>
          <w:lang w:val="en-US" w:eastAsia="zh-CN"/>
        </w:rPr>
        <w:t>伍</w:t>
      </w:r>
      <w:r>
        <w:rPr>
          <w:rFonts w:hint="eastAsia" w:ascii="Times New Roman" w:hAnsi="Times New Roman" w:eastAsia="宋体"/>
          <w:b/>
          <w:bCs/>
          <w:color w:val="auto"/>
          <w:sz w:val="24"/>
          <w:szCs w:val="24"/>
          <w:lang w:val="en-US" w:eastAsia="zh-CN"/>
        </w:rPr>
        <w:t>万元整（¥</w:t>
      </w:r>
      <w:r>
        <w:rPr>
          <w:rFonts w:hint="eastAsia" w:ascii="Times New Roman" w:hAnsi="Times New Roman"/>
          <w:b/>
          <w:bCs/>
          <w:color w:val="auto"/>
          <w:sz w:val="24"/>
          <w:szCs w:val="24"/>
          <w:lang w:val="en-US" w:eastAsia="zh-CN"/>
        </w:rPr>
        <w:t>：15</w:t>
      </w:r>
      <w:r>
        <w:rPr>
          <w:rFonts w:hint="eastAsia" w:ascii="Times New Roman" w:hAnsi="Times New Roman" w:eastAsia="宋体"/>
          <w:b/>
          <w:bCs/>
          <w:color w:val="auto"/>
          <w:sz w:val="24"/>
          <w:szCs w:val="24"/>
          <w:lang w:val="en-US" w:eastAsia="zh-CN"/>
        </w:rPr>
        <w:t>0000）</w:t>
      </w:r>
      <w:r>
        <w:rPr>
          <w:rFonts w:hint="eastAsia" w:ascii="Times New Roman" w:hAnsi="Times New Roman" w:eastAsia="宋体"/>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10.2投标人报价超过招标控制价的，否决其投标。</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评分项目：</w:t>
      </w:r>
    </w:p>
    <w:tbl>
      <w:tblPr>
        <w:tblStyle w:val="7"/>
        <w:tblW w:w="842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2047"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10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w:t>
            </w:r>
            <w:r>
              <w:rPr>
                <w:rFonts w:hint="eastAsia" w:ascii="Times New Roman" w:hAnsi="Times New Roman" w:eastAsia="宋体" w:cs="Times New Roman"/>
                <w:color w:val="auto"/>
                <w:kern w:val="0"/>
                <w:szCs w:val="21"/>
                <w:lang w:val="en-US" w:eastAsia="zh-CN"/>
              </w:rPr>
              <w:t xml:space="preserve">  </w:t>
            </w:r>
            <w:r>
              <w:rPr>
                <w:rFonts w:hint="eastAsia" w:ascii="Times New Roman" w:hAnsi="Times New Roman" w:eastAsia="宋体" w:cs="Times New Roman"/>
                <w:color w:val="auto"/>
                <w:kern w:val="0"/>
                <w:szCs w:val="21"/>
              </w:rPr>
              <w:t>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1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1.施工方案：20分；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2.安全措施：5分；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3.材料：5分</w:t>
            </w:r>
            <w:r>
              <w:rPr>
                <w:rFonts w:hint="eastAsia" w:ascii="Times New Roman" w:hAnsi="Times New Roman" w:eastAsia="宋体" w:cs="Times New Roman"/>
                <w:color w:val="auto"/>
                <w:kern w:val="0"/>
                <w:szCs w:val="21"/>
                <w:lang w:val="en-US" w:eastAsia="zh-CN"/>
              </w:rPr>
              <w:t>；</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4.不满足施工安全及技术要求的，按废标处理。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10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1.类似业绩：</w:t>
            </w:r>
            <w:r>
              <w:rPr>
                <w:rFonts w:hint="eastAsia" w:ascii="Times New Roman" w:hAnsi="Times New Roman" w:cs="Times New Roman"/>
                <w:color w:val="auto"/>
                <w:kern w:val="0"/>
                <w:szCs w:val="21"/>
                <w:lang w:val="en-US" w:eastAsia="zh-CN"/>
              </w:rPr>
              <w:t>6</w:t>
            </w:r>
            <w:r>
              <w:rPr>
                <w:rFonts w:hint="eastAsia" w:ascii="Times New Roman" w:hAnsi="Times New Roman" w:eastAsia="宋体" w:cs="Times New Roman"/>
                <w:color w:val="auto"/>
                <w:kern w:val="0"/>
                <w:szCs w:val="21"/>
                <w:lang w:eastAsia="zh-CN"/>
              </w:rPr>
              <w:t>分（每份合同3分，封顶</w:t>
            </w:r>
            <w:r>
              <w:rPr>
                <w:rFonts w:hint="eastAsia" w:ascii="Times New Roman" w:hAnsi="Times New Roman" w:cs="Times New Roman"/>
                <w:color w:val="auto"/>
                <w:kern w:val="0"/>
                <w:szCs w:val="21"/>
                <w:lang w:val="en-US" w:eastAsia="zh-CN"/>
              </w:rPr>
              <w:t>6</w:t>
            </w:r>
            <w:r>
              <w:rPr>
                <w:rFonts w:hint="eastAsia" w:ascii="Times New Roman" w:hAnsi="Times New Roman" w:eastAsia="宋体" w:cs="Times New Roman"/>
                <w:color w:val="auto"/>
                <w:kern w:val="0"/>
                <w:szCs w:val="21"/>
                <w:lang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2.质保承诺：</w:t>
            </w:r>
            <w:r>
              <w:rPr>
                <w:rFonts w:hint="eastAsia" w:ascii="Times New Roman" w:hAnsi="Times New Roman" w:cs="Times New Roman"/>
                <w:color w:val="auto"/>
                <w:kern w:val="0"/>
                <w:szCs w:val="21"/>
                <w:lang w:val="en-US" w:eastAsia="zh-CN"/>
              </w:rPr>
              <w:t>4</w:t>
            </w:r>
            <w:r>
              <w:rPr>
                <w:rFonts w:hint="eastAsia" w:ascii="Times New Roman" w:hAnsi="Times New Roman" w:eastAsia="宋体" w:cs="Times New Roman"/>
                <w:color w:val="auto"/>
                <w:kern w:val="0"/>
                <w:szCs w:val="21"/>
                <w:lang w:eastAsia="zh-CN"/>
              </w:rPr>
              <w:t>分（</w:t>
            </w:r>
            <w:r>
              <w:rPr>
                <w:rFonts w:hint="eastAsia" w:ascii="Times New Roman" w:hAnsi="Times New Roman" w:eastAsia="宋体" w:cs="Times New Roman"/>
                <w:b/>
                <w:bCs/>
                <w:color w:val="auto"/>
                <w:kern w:val="0"/>
                <w:szCs w:val="21"/>
                <w:lang w:eastAsia="zh-CN"/>
              </w:rPr>
              <w:t>无质保期的将被否决</w:t>
            </w:r>
            <w:r>
              <w:rPr>
                <w:rFonts w:hint="eastAsia" w:ascii="Times New Roman" w:hAnsi="Times New Roman" w:eastAsia="宋体" w:cs="Times New Roman"/>
                <w:color w:val="auto"/>
                <w:kern w:val="0"/>
                <w:szCs w:val="21"/>
                <w:lang w:eastAsia="zh-CN"/>
              </w:rPr>
              <w:t>；1年0分，质保期最长的满分</w:t>
            </w:r>
            <w:r>
              <w:rPr>
                <w:rFonts w:hint="eastAsia" w:ascii="Times New Roman" w:hAnsi="Times New Roman" w:cs="Times New Roman"/>
                <w:color w:val="auto"/>
                <w:kern w:val="0"/>
                <w:szCs w:val="21"/>
                <w:lang w:val="en-US" w:eastAsia="zh-CN"/>
              </w:rPr>
              <w:t>4</w:t>
            </w:r>
            <w:r>
              <w:rPr>
                <w:rFonts w:hint="eastAsia" w:ascii="Times New Roman" w:hAnsi="Times New Roman" w:eastAsia="宋体" w:cs="Times New Roman"/>
                <w:color w:val="auto"/>
                <w:kern w:val="0"/>
                <w:szCs w:val="21"/>
                <w:lang w:eastAsia="zh-CN"/>
              </w:rPr>
              <w:t>分，其它的扣除一年后与最长的比例得分）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w:t>
      </w:r>
      <w:r>
        <w:rPr>
          <w:rFonts w:hint="eastAsia" w:ascii="Times New Roman" w:hAnsi="Times New Roman"/>
          <w:color w:val="auto"/>
          <w:sz w:val="24"/>
          <w:szCs w:val="24"/>
          <w:lang w:eastAsia="zh-CN"/>
        </w:rPr>
        <w:t>保留两位</w:t>
      </w:r>
      <w:r>
        <w:rPr>
          <w:rFonts w:hint="eastAsia" w:ascii="Times New Roman" w:hAnsi="Times New Roman" w:eastAsia="宋体"/>
          <w:color w:val="auto"/>
          <w:sz w:val="24"/>
          <w:szCs w:val="24"/>
        </w:rPr>
        <w:t>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7</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31</w:t>
      </w:r>
      <w:r>
        <w:rPr>
          <w:rFonts w:ascii="Times New Roman" w:hAnsi="Times New Roman" w:eastAsia="宋体"/>
          <w:color w:val="auto"/>
          <w:sz w:val="24"/>
          <w:szCs w:val="24"/>
        </w:rPr>
        <w:t>日</w:t>
      </w:r>
      <w:r>
        <w:rPr>
          <w:rFonts w:hint="eastAsia" w:ascii="Times New Roman" w:hAnsi="Times New Roman"/>
          <w:color w:val="auto"/>
          <w:sz w:val="24"/>
          <w:szCs w:val="24"/>
          <w:lang w:val="en-US" w:eastAsia="zh-CN"/>
        </w:rPr>
        <w:t>下午4</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w:t>
      </w:r>
      <w:r>
        <w:rPr>
          <w:rFonts w:hint="eastAsia" w:ascii="Times New Roman" w:hAnsi="Times New Roman"/>
          <w:b w:val="0"/>
          <w:bCs/>
          <w:color w:val="auto"/>
          <w:sz w:val="24"/>
          <w:szCs w:val="24"/>
          <w:lang w:val="en-US" w:eastAsia="zh-CN"/>
        </w:rPr>
        <w:t>广东省惠州市闽环纸品</w:t>
      </w:r>
      <w:r>
        <w:rPr>
          <w:rFonts w:hint="eastAsia" w:ascii="Times New Roman" w:hAnsi="Times New Roman" w:eastAsia="宋体"/>
          <w:b w:val="0"/>
          <w:bCs/>
          <w:color w:val="auto"/>
          <w:sz w:val="24"/>
          <w:szCs w:val="24"/>
          <w:lang w:val="en-US" w:eastAsia="zh-CN"/>
        </w:rPr>
        <w:t>股份有限公司</w:t>
      </w:r>
      <w:r>
        <w:rPr>
          <w:rFonts w:hint="eastAsia" w:ascii="Times New Roman" w:hAnsi="Times New Roman"/>
          <w:color w:val="auto"/>
          <w:sz w:val="24"/>
          <w:szCs w:val="24"/>
          <w:lang w:val="en-US" w:eastAsia="zh-CN"/>
        </w:rPr>
        <w:t>2</w:t>
      </w:r>
      <w:r>
        <w:rPr>
          <w:rFonts w:ascii="Times New Roman" w:hAnsi="Times New Roman" w:eastAsia="宋体"/>
          <w:color w:val="auto"/>
          <w:sz w:val="24"/>
          <w:szCs w:val="24"/>
        </w:rPr>
        <w:t>楼会议室公开开标。</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color w:val="auto"/>
          <w:sz w:val="24"/>
          <w:szCs w:val="24"/>
          <w:lang w:eastAsia="zh-CN"/>
        </w:rPr>
        <w:t>以下两种</w:t>
      </w:r>
      <w:r>
        <w:rPr>
          <w:rFonts w:hint="eastAsia" w:ascii="Times New Roman" w:hAnsi="Times New Roman" w:eastAsia="宋体"/>
          <w:color w:val="auto"/>
          <w:sz w:val="24"/>
          <w:szCs w:val="24"/>
        </w:rPr>
        <w:t>参与方式投标人可任选一种</w:t>
      </w:r>
      <w:r>
        <w:rPr>
          <w:rFonts w:hint="eastAsia" w:ascii="Times New Roman" w:hAnsi="Times New Roman"/>
          <w:color w:val="auto"/>
          <w:sz w:val="24"/>
          <w:szCs w:val="24"/>
          <w:lang w:eastAsia="zh-CN"/>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rPr>
        <w:t>1</w:t>
      </w:r>
      <w:r>
        <w:rPr>
          <w:rFonts w:ascii="Times New Roman" w:hAnsi="Times New Roman" w:eastAsia="宋体"/>
          <w:color w:val="auto"/>
          <w:sz w:val="24"/>
          <w:szCs w:val="24"/>
        </w:rPr>
        <w:t>现场：</w:t>
      </w:r>
      <w:r>
        <w:rPr>
          <w:rFonts w:hint="eastAsia" w:ascii="Times New Roman" w:hAnsi="Times New Roman" w:eastAsia="宋体"/>
          <w:color w:val="auto"/>
          <w:sz w:val="24"/>
          <w:szCs w:val="24"/>
        </w:rPr>
        <w:t>参与现场投标的，投标人应于开标之前将投标文件送至</w:t>
      </w:r>
      <w:r>
        <w:rPr>
          <w:rFonts w:hint="eastAsia" w:ascii="Times New Roman" w:hAnsi="Times New Roman"/>
          <w:b w:val="0"/>
          <w:bCs/>
          <w:color w:val="auto"/>
          <w:sz w:val="24"/>
          <w:szCs w:val="24"/>
          <w:lang w:val="en-US" w:eastAsia="zh-CN"/>
        </w:rPr>
        <w:t>广东省惠州市闽环纸品</w:t>
      </w:r>
      <w:r>
        <w:rPr>
          <w:rFonts w:hint="eastAsia" w:ascii="Times New Roman" w:hAnsi="Times New Roman" w:eastAsia="宋体"/>
          <w:b w:val="0"/>
          <w:bCs/>
          <w:color w:val="auto"/>
          <w:sz w:val="24"/>
          <w:szCs w:val="24"/>
          <w:lang w:val="en-US" w:eastAsia="zh-CN"/>
        </w:rPr>
        <w:t>股份有限公司</w:t>
      </w:r>
      <w:r>
        <w:rPr>
          <w:rFonts w:hint="eastAsia" w:ascii="Times New Roman" w:hAnsi="Times New Roman"/>
          <w:color w:val="auto"/>
          <w:sz w:val="24"/>
          <w:szCs w:val="24"/>
          <w:lang w:val="en-US" w:eastAsia="zh-CN"/>
        </w:rPr>
        <w:t>2</w:t>
      </w:r>
      <w:r>
        <w:rPr>
          <w:rFonts w:ascii="Times New Roman" w:hAnsi="Times New Roman" w:eastAsia="宋体"/>
          <w:color w:val="auto"/>
          <w:sz w:val="24"/>
          <w:szCs w:val="24"/>
        </w:rPr>
        <w:t>楼会议室</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u w:val="none"/>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.2.2邮寄：以邮寄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w:t>
      </w:r>
      <w:r>
        <w:rPr>
          <w:rFonts w:hint="eastAsia" w:ascii="Times New Roman" w:hAnsi="Times New Roman" w:eastAsia="宋体"/>
          <w:color w:val="auto"/>
          <w:sz w:val="24"/>
          <w:szCs w:val="24"/>
          <w:u w:val="none"/>
        </w:rPr>
        <w:t>（邮寄地址：</w:t>
      </w:r>
      <w:r>
        <w:rPr>
          <w:rFonts w:hint="eastAsia" w:ascii="Times New Roman" w:hAnsi="Times New Roman" w:eastAsia="宋体"/>
          <w:color w:val="auto"/>
          <w:sz w:val="24"/>
          <w:szCs w:val="24"/>
          <w:u w:val="none"/>
          <w:lang w:val="en-US" w:eastAsia="zh-CN"/>
        </w:rPr>
        <w:t>广东省</w:t>
      </w:r>
      <w:r>
        <w:rPr>
          <w:rFonts w:hint="eastAsia" w:ascii="Times New Roman" w:hAnsi="Times New Roman" w:eastAsia="宋体"/>
          <w:color w:val="auto"/>
          <w:sz w:val="24"/>
          <w:szCs w:val="24"/>
          <w:u w:val="none"/>
        </w:rPr>
        <w:t>惠州市惠阳区秋长街道新塘村天翼路108号，单位名称：</w:t>
      </w:r>
      <w:r>
        <w:rPr>
          <w:rFonts w:hint="eastAsia" w:ascii="Times New Roman" w:hAnsi="Times New Roman" w:eastAsia="宋体"/>
          <w:color w:val="auto"/>
          <w:sz w:val="24"/>
          <w:szCs w:val="24"/>
          <w:u w:val="none"/>
          <w:lang w:val="en-US" w:eastAsia="zh-CN"/>
        </w:rPr>
        <w:t>广东省惠州市闽环纸品股份有限公司</w:t>
      </w:r>
      <w:r>
        <w:rPr>
          <w:rFonts w:hint="eastAsia" w:ascii="Times New Roman" w:hAnsi="Times New Roman" w:eastAsia="宋体"/>
          <w:color w:val="auto"/>
          <w:sz w:val="24"/>
          <w:szCs w:val="24"/>
          <w:u w:val="none"/>
        </w:rPr>
        <w:t>，收件人：</w:t>
      </w:r>
      <w:r>
        <w:rPr>
          <w:rFonts w:hint="eastAsia" w:ascii="Times New Roman" w:hAnsi="Times New Roman" w:eastAsia="宋体"/>
          <w:color w:val="auto"/>
          <w:sz w:val="24"/>
          <w:szCs w:val="24"/>
          <w:u w:val="none"/>
          <w:lang w:val="en-US" w:eastAsia="zh-CN"/>
        </w:rPr>
        <w:t>黄元煜</w:t>
      </w:r>
      <w:r>
        <w:rPr>
          <w:rFonts w:hint="eastAsia" w:ascii="Times New Roman" w:hAnsi="Times New Roman" w:eastAsia="宋体"/>
          <w:color w:val="auto"/>
          <w:sz w:val="24"/>
          <w:szCs w:val="24"/>
          <w:u w:val="none"/>
        </w:rPr>
        <w:t>，联系电话：</w:t>
      </w:r>
      <w:r>
        <w:rPr>
          <w:rFonts w:hint="eastAsia" w:ascii="Times New Roman" w:hAnsi="Times New Roman" w:eastAsia="宋体"/>
          <w:color w:val="auto"/>
          <w:sz w:val="24"/>
          <w:szCs w:val="24"/>
          <w:u w:val="none"/>
          <w:lang w:val="en-US" w:eastAsia="zh-CN"/>
        </w:rPr>
        <w:t>13507569269</w:t>
      </w:r>
      <w:r>
        <w:rPr>
          <w:rFonts w:hint="eastAsia" w:ascii="Times New Roman" w:hAnsi="Times New Roman"/>
          <w:color w:val="auto"/>
          <w:sz w:val="24"/>
          <w:szCs w:val="24"/>
          <w:u w:val="none"/>
          <w:lang w:val="en-US" w:eastAsia="zh-CN"/>
        </w:rPr>
        <w:t>，</w:t>
      </w:r>
      <w:r>
        <w:rPr>
          <w:rFonts w:hint="eastAsia" w:ascii="Times New Roman" w:hAnsi="Times New Roman" w:eastAsia="宋体"/>
          <w:color w:val="auto"/>
          <w:sz w:val="24"/>
          <w:szCs w:val="24"/>
          <w:u w:val="none"/>
        </w:rPr>
        <w:t>招标人拒绝接受邮寄到其他收件人的邮件。）</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color w:val="auto"/>
          <w:sz w:val="24"/>
          <w:szCs w:val="24"/>
          <w:lang w:val="en-US" w:eastAsia="zh-CN"/>
        </w:rPr>
        <w:t>壹万元（</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10</w:t>
      </w:r>
      <w:r>
        <w:rPr>
          <w:rFonts w:hint="eastAsia" w:ascii="Times New Roman" w:hAnsi="Times New Roman" w:eastAsia="宋体"/>
          <w:color w:val="auto"/>
          <w:sz w:val="24"/>
          <w:szCs w:val="24"/>
          <w:highlight w:val="none"/>
          <w:lang w:val="en-US" w:eastAsia="zh-CN"/>
        </w:rPr>
        <w:t>000</w:t>
      </w:r>
      <w:r>
        <w:rPr>
          <w:rFonts w:ascii="Times New Roman" w:hAnsi="Times New Roman" w:eastAsia="宋体"/>
          <w:color w:val="auto"/>
          <w:sz w:val="24"/>
          <w:szCs w:val="24"/>
        </w:rPr>
        <w:t>元</w:t>
      </w:r>
      <w:r>
        <w:rPr>
          <w:rFonts w:hint="eastAsia" w:ascii="Times New Roman" w:hAnsi="Times New Roman"/>
          <w:color w:val="auto"/>
          <w:sz w:val="24"/>
          <w:szCs w:val="24"/>
          <w:lang w:val="en-US" w:eastAsia="zh-CN"/>
        </w:rPr>
        <w:t>）</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r>
        <w:rPr>
          <w:rFonts w:hint="eastAsia" w:ascii="Times New Roman" w:hAnsi="Times New Roman"/>
          <w:color w:val="auto"/>
          <w:sz w:val="24"/>
          <w:szCs w:val="24"/>
          <w:lang w:val="en-US" w:eastAsia="zh-CN"/>
        </w:rPr>
        <w:t>，且</w:t>
      </w:r>
      <w:r>
        <w:rPr>
          <w:rFonts w:hint="eastAsia" w:ascii="Times New Roman" w:hAnsi="Times New Roman" w:eastAsia="宋体"/>
          <w:color w:val="auto"/>
          <w:sz w:val="24"/>
          <w:szCs w:val="24"/>
        </w:rPr>
        <w:t>银行电汇回单单独密封装订。</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color w:val="auto"/>
          <w:sz w:val="24"/>
          <w:szCs w:val="24"/>
          <w:lang w:val="en-US" w:eastAsia="zh-CN"/>
        </w:rPr>
        <w:t>12.2.1</w:t>
      </w:r>
      <w:r>
        <w:rPr>
          <w:rFonts w:hint="eastAsia" w:ascii="Times New Roman" w:hAnsi="Times New Roman" w:eastAsia="宋体"/>
          <w:color w:val="auto"/>
          <w:sz w:val="24"/>
          <w:szCs w:val="24"/>
        </w:rPr>
        <w:t>银行电汇；（开户银行：</w:t>
      </w:r>
      <w:r>
        <w:rPr>
          <w:rFonts w:hint="eastAsia" w:ascii="Times New Roman" w:hAnsi="Times New Roman" w:eastAsia="宋体"/>
          <w:color w:val="auto"/>
          <w:sz w:val="24"/>
          <w:szCs w:val="24"/>
          <w:lang w:val="en-US" w:eastAsia="zh-CN"/>
        </w:rPr>
        <w:t>中国</w:t>
      </w:r>
      <w:r>
        <w:rPr>
          <w:rFonts w:hint="eastAsia" w:ascii="Times New Roman" w:hAnsi="Times New Roman" w:eastAsia="宋体"/>
          <w:color w:val="auto"/>
          <w:sz w:val="24"/>
          <w:szCs w:val="24"/>
        </w:rPr>
        <w:t>工商银行</w:t>
      </w:r>
      <w:r>
        <w:rPr>
          <w:rFonts w:hint="eastAsia" w:ascii="Times New Roman" w:hAnsi="Times New Roman" w:eastAsia="宋体"/>
          <w:color w:val="auto"/>
          <w:sz w:val="24"/>
          <w:szCs w:val="24"/>
          <w:lang w:val="en-US" w:eastAsia="zh-CN"/>
        </w:rPr>
        <w:t>广州从化鳌头</w:t>
      </w:r>
      <w:r>
        <w:rPr>
          <w:rFonts w:hint="eastAsia" w:ascii="Times New Roman" w:hAnsi="Times New Roman" w:eastAsia="宋体"/>
          <w:color w:val="auto"/>
          <w:sz w:val="24"/>
          <w:szCs w:val="24"/>
        </w:rPr>
        <w:t>支行、账户名：</w:t>
      </w:r>
      <w:r>
        <w:rPr>
          <w:rFonts w:hint="eastAsia" w:ascii="Times New Roman" w:hAnsi="Times New Roman" w:eastAsia="宋体"/>
          <w:color w:val="auto"/>
          <w:sz w:val="24"/>
          <w:szCs w:val="24"/>
          <w:lang w:val="en-US" w:eastAsia="zh-CN"/>
        </w:rPr>
        <w:t>广州青纸包装材料有限公司</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账号：</w:t>
      </w:r>
      <w:r>
        <w:rPr>
          <w:rFonts w:hint="eastAsia" w:ascii="Times New Roman" w:hAnsi="Times New Roman" w:eastAsia="宋体"/>
          <w:color w:val="auto"/>
          <w:sz w:val="24"/>
          <w:szCs w:val="24"/>
          <w:lang w:val="en-US" w:eastAsia="zh-CN"/>
        </w:rPr>
        <w:t>91440101MA5D0RR700</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color w:val="auto"/>
          <w:sz w:val="24"/>
          <w:szCs w:val="24"/>
          <w:lang w:val="en-US" w:eastAsia="zh-CN"/>
        </w:rPr>
        <w:t>12.2.2</w:t>
      </w:r>
      <w:r>
        <w:rPr>
          <w:rFonts w:hint="eastAsia" w:ascii="Times New Roman" w:hAnsi="Times New Roman" w:eastAsia="宋体"/>
          <w:color w:val="auto"/>
          <w:sz w:val="24"/>
          <w:szCs w:val="24"/>
        </w:rPr>
        <w:t>公对公转账，汇款人须注明参与的招标编号）。</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.5中标的投标人的投标保证金，将在中标人签订合同时转为履约保证金，合同按时履行完毕后予以原额退还。</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2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w:t>
      </w:r>
      <w:r>
        <w:rPr>
          <w:rFonts w:hint="eastAsia" w:ascii="Times New Roman" w:hAnsi="Times New Roman" w:eastAsia="宋体"/>
          <w:color w:val="auto"/>
          <w:sz w:val="24"/>
          <w:szCs w:val="24"/>
          <w:lang w:eastAsia="zh-CN"/>
        </w:rPr>
        <w:t>其他</w:t>
      </w:r>
      <w:r>
        <w:rPr>
          <w:rFonts w:hint="eastAsia" w:ascii="Times New Roman" w:hAnsi="Times New Roman" w:eastAsia="宋体"/>
          <w:color w:val="auto"/>
          <w:sz w:val="24"/>
          <w:szCs w:val="24"/>
        </w:rPr>
        <w:t>证明</w:t>
      </w:r>
      <w:r>
        <w:rPr>
          <w:rFonts w:hint="eastAsia" w:ascii="Times New Roman" w:hAnsi="Times New Roman" w:eastAsia="宋体"/>
          <w:color w:val="auto"/>
          <w:sz w:val="24"/>
          <w:szCs w:val="24"/>
          <w:lang w:eastAsia="zh-CN"/>
        </w:rPr>
        <w:t>材</w:t>
      </w:r>
      <w:r>
        <w:rPr>
          <w:rFonts w:hint="eastAsia" w:ascii="Times New Roman" w:hAnsi="Times New Roman" w:eastAsia="宋体"/>
          <w:color w:val="auto"/>
          <w:sz w:val="24"/>
          <w:szCs w:val="24"/>
        </w:rPr>
        <w:t>料</w:t>
      </w:r>
      <w:bookmarkStart w:id="0" w:name="_GoBack"/>
      <w:bookmarkEnd w:id="0"/>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c</w:t>
      </w:r>
      <w:r>
        <w:rPr>
          <w:rFonts w:hint="eastAsia" w:ascii="Times New Roman" w:hAnsi="Times New Roman" w:eastAsia="宋体"/>
          <w:color w:val="auto"/>
          <w:sz w:val="24"/>
          <w:szCs w:val="24"/>
        </w:rPr>
        <w:t>.</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d</w:t>
      </w:r>
      <w:r>
        <w:rPr>
          <w:rFonts w:ascii="Times New Roman" w:hAnsi="Times New Roman" w:eastAsia="宋体"/>
          <w:color w:val="auto"/>
          <w:sz w:val="24"/>
          <w:szCs w:val="24"/>
        </w:rPr>
        <w:t>.</w:t>
      </w:r>
      <w:r>
        <w:rPr>
          <w:rFonts w:hint="eastAsia" w:ascii="Times New Roman" w:hAnsi="Times New Roman" w:eastAsia="宋体"/>
          <w:color w:val="auto"/>
          <w:sz w:val="24"/>
          <w:szCs w:val="24"/>
          <w:lang w:eastAsia="zh-CN"/>
        </w:rPr>
        <w:t>投标人认为需要提供</w:t>
      </w:r>
      <w:r>
        <w:rPr>
          <w:rFonts w:ascii="Times New Roman" w:hAnsi="Times New Roman" w:eastAsia="宋体"/>
          <w:color w:val="auto"/>
          <w:sz w:val="24"/>
          <w:szCs w:val="24"/>
        </w:rPr>
        <w:t>的其他资料，等等。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施工方案</w:t>
      </w:r>
      <w:r>
        <w:rPr>
          <w:rFonts w:hint="eastAsia" w:ascii="Times New Roman" w:hAnsi="Times New Roman" w:eastAsia="宋体"/>
          <w:color w:val="auto"/>
          <w:sz w:val="24"/>
          <w:szCs w:val="24"/>
          <w:lang w:val="en-US" w:eastAsia="zh-CN"/>
        </w:rPr>
        <w:t>；b.</w:t>
      </w:r>
      <w:r>
        <w:rPr>
          <w:rFonts w:hint="eastAsia" w:ascii="Times New Roman" w:hAnsi="Times New Roman" w:eastAsia="宋体"/>
          <w:color w:val="auto"/>
          <w:sz w:val="24"/>
          <w:szCs w:val="24"/>
          <w:lang w:eastAsia="zh-CN"/>
        </w:rPr>
        <w:t>第</w:t>
      </w:r>
      <w:r>
        <w:rPr>
          <w:rFonts w:hint="eastAsia" w:ascii="Times New Roman" w:hAnsi="Times New Roman" w:eastAsia="宋体"/>
          <w:color w:val="auto"/>
          <w:sz w:val="24"/>
          <w:szCs w:val="24"/>
          <w:lang w:val="en-US" w:eastAsia="zh-CN"/>
        </w:rPr>
        <w:t>10.3条</w:t>
      </w:r>
      <w:r>
        <w:rPr>
          <w:rFonts w:hint="eastAsia" w:ascii="Times New Roman" w:hAnsi="Times New Roman" w:eastAsia="宋体"/>
          <w:color w:val="auto"/>
          <w:sz w:val="24"/>
          <w:szCs w:val="24"/>
          <w:lang w:eastAsia="zh-CN"/>
        </w:rPr>
        <w:t>技术评审中第</w:t>
      </w:r>
      <w:r>
        <w:rPr>
          <w:rFonts w:hint="eastAsia" w:ascii="Times New Roman" w:hAnsi="Times New Roman" w:eastAsia="宋体"/>
          <w:color w:val="auto"/>
          <w:sz w:val="24"/>
          <w:szCs w:val="24"/>
          <w:lang w:val="en-US" w:eastAsia="zh-CN"/>
        </w:rPr>
        <w:t>1、2、3小点评分</w:t>
      </w:r>
      <w:r>
        <w:rPr>
          <w:rFonts w:hint="eastAsia" w:ascii="Times New Roman" w:hAnsi="Times New Roman" w:eastAsia="宋体"/>
          <w:color w:val="auto"/>
          <w:sz w:val="24"/>
          <w:szCs w:val="24"/>
          <w:lang w:eastAsia="zh-CN"/>
        </w:rPr>
        <w:t>项所对应的其他响应材料</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c</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工</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w:t>
      </w:r>
      <w:r>
        <w:rPr>
          <w:rFonts w:hint="eastAsia" w:ascii="Times New Roman" w:hAnsi="Times New Roman" w:eastAsia="宋体"/>
          <w:color w:val="auto"/>
          <w:sz w:val="24"/>
          <w:szCs w:val="24"/>
          <w:lang w:val="en-US" w:eastAsia="zh-CN"/>
        </w:rPr>
        <w:t>d</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e</w:t>
      </w:r>
      <w:r>
        <w:rPr>
          <w:rFonts w:hint="eastAsia" w:ascii="Times New Roman" w:hAnsi="Times New Roman" w:eastAsia="宋体"/>
          <w:color w:val="auto"/>
          <w:sz w:val="24"/>
          <w:szCs w:val="24"/>
        </w:rPr>
        <w:t>.</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f</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1</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除商务文件外，其他任何地方不得出现相关投标报价的任何内容。</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14.评标小组：评标小组由</w:t>
      </w:r>
      <w:r>
        <w:rPr>
          <w:rFonts w:hint="eastAsia" w:ascii="Times New Roman" w:hAnsi="Times New Roman" w:eastAsia="宋体"/>
          <w:color w:val="auto"/>
          <w:sz w:val="24"/>
          <w:szCs w:val="24"/>
          <w:lang w:val="en-US" w:eastAsia="zh-CN"/>
        </w:rPr>
        <w:t>广州青纸包装材料有限公司和惠州市闽环纸品股份有限公司</w:t>
      </w:r>
      <w:r>
        <w:rPr>
          <w:rFonts w:hint="eastAsia" w:ascii="Times New Roman" w:hAnsi="Times New Roman" w:eastAsia="宋体"/>
          <w:color w:val="auto"/>
          <w:sz w:val="24"/>
          <w:szCs w:val="24"/>
          <w:lang w:eastAsia="zh-CN"/>
        </w:rPr>
        <w:t>有关</w:t>
      </w:r>
      <w:r>
        <w:rPr>
          <w:rFonts w:hint="eastAsia" w:ascii="Times New Roman" w:hAnsi="Times New Roman" w:eastAsia="宋体"/>
          <w:color w:val="auto"/>
          <w:sz w:val="24"/>
          <w:szCs w:val="24"/>
        </w:rPr>
        <w:t>部门人员组成。</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15.发布招标公告及结果公示媒体：福建省青山纸业股份有限公司</w:t>
      </w:r>
      <w:r>
        <w:rPr>
          <w:rFonts w:hint="eastAsia" w:ascii="Times New Roman" w:hAnsi="Times New Roman" w:eastAsia="宋体"/>
          <w:color w:val="auto"/>
          <w:sz w:val="24"/>
          <w:szCs w:val="24"/>
        </w:rPr>
        <w:fldChar w:fldCharType="begin"/>
      </w:r>
      <w:r>
        <w:rPr>
          <w:rFonts w:hint="eastAsia" w:ascii="Times New Roman" w:hAnsi="Times New Roman" w:eastAsia="宋体"/>
          <w:color w:val="auto"/>
          <w:sz w:val="24"/>
          <w:szCs w:val="24"/>
        </w:rPr>
        <w:instrText xml:space="preserve"> HYPERLINK "http://www.qingshanpaper.com/" </w:instrText>
      </w:r>
      <w:r>
        <w:rPr>
          <w:rFonts w:hint="eastAsia" w:ascii="Times New Roman" w:hAnsi="Times New Roman" w:eastAsia="宋体"/>
          <w:color w:val="auto"/>
          <w:sz w:val="24"/>
          <w:szCs w:val="24"/>
        </w:rPr>
        <w:fldChar w:fldCharType="separate"/>
      </w:r>
      <w:r>
        <w:rPr>
          <w:rFonts w:hint="eastAsia" w:ascii="Times New Roman" w:hAnsi="Times New Roman" w:eastAsia="宋体"/>
          <w:color w:val="auto"/>
          <w:sz w:val="24"/>
          <w:szCs w:val="24"/>
        </w:rPr>
        <w:t>www.qingshanpaper.com</w:t>
      </w:r>
      <w:r>
        <w:rPr>
          <w:rFonts w:hint="eastAsia" w:ascii="Times New Roman" w:hAnsi="Times New Roman" w:eastAsia="宋体"/>
          <w:color w:val="auto"/>
          <w:sz w:val="24"/>
          <w:szCs w:val="24"/>
        </w:rPr>
        <w:fldChar w:fldCharType="end"/>
      </w:r>
      <w:r>
        <w:rPr>
          <w:rFonts w:hint="eastAsia" w:ascii="Times New Roman" w:hAnsi="Times New Roman" w:eastAsia="宋体"/>
          <w:color w:val="auto"/>
          <w:sz w:val="24"/>
          <w:szCs w:val="24"/>
        </w:rPr>
        <w:t>、福建省轻纺</w:t>
      </w:r>
      <w:r>
        <w:rPr>
          <w:rFonts w:hint="eastAsia" w:ascii="Times New Roman" w:hAnsi="Times New Roman"/>
          <w:color w:val="auto"/>
          <w:sz w:val="24"/>
          <w:szCs w:val="24"/>
          <w:lang w:eastAsia="zh-CN"/>
        </w:rPr>
        <w:t>（</w:t>
      </w:r>
      <w:r>
        <w:rPr>
          <w:rFonts w:hint="eastAsia" w:ascii="Times New Roman" w:hAnsi="Times New Roman" w:eastAsia="宋体"/>
          <w:color w:val="auto"/>
          <w:sz w:val="24"/>
          <w:szCs w:val="24"/>
        </w:rPr>
        <w:t>控股</w:t>
      </w:r>
      <w:r>
        <w:rPr>
          <w:rFonts w:hint="eastAsia" w:ascii="Times New Roman" w:hAnsi="Times New Roman"/>
          <w:color w:val="auto"/>
          <w:sz w:val="24"/>
          <w:szCs w:val="24"/>
          <w:lang w:eastAsia="zh-CN"/>
        </w:rPr>
        <w:t>）</w:t>
      </w:r>
      <w:r>
        <w:rPr>
          <w:rFonts w:hint="eastAsia" w:ascii="Times New Roman" w:hAnsi="Times New Roman" w:eastAsia="宋体"/>
          <w:color w:val="auto"/>
          <w:sz w:val="24"/>
          <w:szCs w:val="24"/>
        </w:rPr>
        <w:t>有限责任公司</w:t>
      </w:r>
      <w:r>
        <w:rPr>
          <w:rFonts w:hint="eastAsia" w:ascii="Times New Roman" w:hAnsi="Times New Roman" w:eastAsia="宋体"/>
          <w:color w:val="auto"/>
          <w:sz w:val="24"/>
          <w:szCs w:val="24"/>
        </w:rPr>
        <w:fldChar w:fldCharType="begin"/>
      </w:r>
      <w:r>
        <w:rPr>
          <w:rFonts w:hint="eastAsia" w:ascii="Times New Roman" w:hAnsi="Times New Roman" w:eastAsia="宋体"/>
          <w:color w:val="auto"/>
          <w:sz w:val="24"/>
          <w:szCs w:val="24"/>
        </w:rPr>
        <w:instrText xml:space="preserve"> HYPERLINK "http://www.fjqfkg.com/" </w:instrText>
      </w:r>
      <w:r>
        <w:rPr>
          <w:rFonts w:hint="eastAsia" w:ascii="Times New Roman" w:hAnsi="Times New Roman" w:eastAsia="宋体"/>
          <w:color w:val="auto"/>
          <w:sz w:val="24"/>
          <w:szCs w:val="24"/>
        </w:rPr>
        <w:fldChar w:fldCharType="separate"/>
      </w:r>
      <w:r>
        <w:rPr>
          <w:rFonts w:hint="eastAsia" w:ascii="Times New Roman" w:hAnsi="Times New Roman" w:eastAsia="宋体"/>
          <w:color w:val="auto"/>
          <w:sz w:val="24"/>
          <w:szCs w:val="24"/>
        </w:rPr>
        <w:t>www.fjqfkg.com</w:t>
      </w:r>
      <w:r>
        <w:rPr>
          <w:rFonts w:hint="eastAsia" w:ascii="Times New Roman" w:hAnsi="Times New Roman" w:eastAsia="宋体"/>
          <w:color w:val="auto"/>
          <w:sz w:val="24"/>
          <w:szCs w:val="24"/>
        </w:rPr>
        <w:fldChar w:fldCharType="end"/>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16.联系方式</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技术联系人：</w:t>
      </w:r>
      <w:r>
        <w:rPr>
          <w:rFonts w:hint="eastAsia" w:ascii="Times New Roman" w:hAnsi="Times New Roman" w:eastAsia="宋体"/>
          <w:color w:val="auto"/>
          <w:sz w:val="24"/>
          <w:szCs w:val="24"/>
          <w:lang w:val="en-US" w:eastAsia="zh-CN"/>
        </w:rPr>
        <w:t>付正发</w:t>
      </w:r>
      <w:r>
        <w:rPr>
          <w:rFonts w:hint="eastAsia" w:ascii="Times New Roman" w:hAnsi="Times New Roman" w:eastAsia="宋体"/>
          <w:color w:val="auto"/>
          <w:sz w:val="24"/>
          <w:szCs w:val="24"/>
        </w:rPr>
        <w:t>138</w:t>
      </w:r>
      <w:r>
        <w:rPr>
          <w:rFonts w:hint="eastAsia" w:ascii="Times New Roman" w:hAnsi="Times New Roman" w:eastAsia="宋体"/>
          <w:color w:val="auto"/>
          <w:sz w:val="24"/>
          <w:szCs w:val="24"/>
          <w:lang w:val="en-US" w:eastAsia="zh-CN"/>
        </w:rPr>
        <w:t>60509117</w:t>
      </w:r>
    </w:p>
    <w:p>
      <w:pPr>
        <w:keepNext w:val="0"/>
        <w:keepLines w:val="0"/>
        <w:pageBreakBefore w:val="0"/>
        <w:widowControl w:val="0"/>
        <w:kinsoku/>
        <w:overflowPunct/>
        <w:topLinePunct w:val="0"/>
        <w:autoSpaceDE/>
        <w:autoSpaceDN/>
        <w:bidi w:val="0"/>
        <w:adjustRightInd/>
        <w:snapToGrid/>
        <w:spacing w:line="420" w:lineRule="exact"/>
        <w:ind w:firstLine="480" w:firstLineChars="200"/>
        <w:textAlignment w:val="auto"/>
        <w:rPr>
          <w:rFonts w:hint="eastAsia" w:ascii="微软雅黑" w:hAnsi="微软雅黑" w:eastAsia="微软雅黑" w:cs="微软雅黑"/>
          <w:i w:val="0"/>
          <w:iCs w:val="0"/>
          <w:caps w:val="0"/>
          <w:color w:val="000000"/>
          <w:spacing w:val="0"/>
          <w:sz w:val="24"/>
          <w:szCs w:val="24"/>
          <w:shd w:val="clear" w:fill="FFFFFF"/>
        </w:rPr>
      </w:pPr>
      <w:r>
        <w:rPr>
          <w:rFonts w:hint="eastAsia" w:ascii="Times New Roman" w:hAnsi="Times New Roman" w:eastAsia="宋体"/>
          <w:color w:val="auto"/>
          <w:sz w:val="24"/>
          <w:szCs w:val="24"/>
        </w:rPr>
        <w:t>商务联系人：</w:t>
      </w:r>
      <w:r>
        <w:rPr>
          <w:rFonts w:hint="eastAsia" w:ascii="Times New Roman" w:hAnsi="Times New Roman" w:eastAsia="宋体"/>
          <w:color w:val="auto"/>
          <w:sz w:val="24"/>
          <w:szCs w:val="24"/>
          <w:lang w:val="en-US" w:eastAsia="zh-CN"/>
        </w:rPr>
        <w:t>黄元煜13507569269</w:t>
      </w:r>
      <w:r>
        <w:rPr>
          <w:rFonts w:hint="eastAsia" w:ascii="Times New Roman" w:hAnsi="Times New Roman" w:eastAsia="宋体"/>
          <w:color w:val="auto"/>
          <w:sz w:val="24"/>
          <w:szCs w:val="24"/>
        </w:rPr>
        <w:t>  </w:t>
      </w:r>
    </w:p>
    <w:p>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Times New Roman" w:hAnsi="Times New Roman" w:eastAsia="宋体"/>
          <w:color w:val="auto"/>
          <w:sz w:val="24"/>
          <w:szCs w:val="24"/>
          <w:lang w:eastAsia="zh-CN"/>
        </w:rPr>
      </w:pPr>
    </w:p>
    <w:p>
      <w:pPr>
        <w:keepNext w:val="0"/>
        <w:keepLines w:val="0"/>
        <w:pageBreakBefore w:val="0"/>
        <w:widowControl w:val="0"/>
        <w:kinsoku/>
        <w:overflowPunct/>
        <w:topLinePunct w:val="0"/>
        <w:autoSpaceDE/>
        <w:autoSpaceDN/>
        <w:bidi w:val="0"/>
        <w:adjustRightInd/>
        <w:snapToGrid/>
        <w:spacing w:line="420" w:lineRule="exact"/>
        <w:ind w:firstLine="5280" w:firstLineChars="2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overflowPunct/>
        <w:topLinePunct w:val="0"/>
        <w:autoSpaceDE/>
        <w:autoSpaceDN/>
        <w:bidi w:val="0"/>
        <w:adjustRightInd/>
        <w:snapToGrid/>
        <w:spacing w:line="420" w:lineRule="exact"/>
        <w:ind w:firstLine="5280" w:firstLineChars="2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overflowPunct/>
        <w:topLinePunct w:val="0"/>
        <w:autoSpaceDE/>
        <w:autoSpaceDN/>
        <w:bidi w:val="0"/>
        <w:adjustRightInd/>
        <w:snapToGrid/>
        <w:spacing w:line="420" w:lineRule="exact"/>
        <w:ind w:firstLine="5280" w:firstLineChars="2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overflowPunct/>
        <w:topLinePunct w:val="0"/>
        <w:autoSpaceDE/>
        <w:autoSpaceDN/>
        <w:bidi w:val="0"/>
        <w:adjustRightInd/>
        <w:snapToGrid/>
        <w:spacing w:line="420" w:lineRule="exact"/>
        <w:ind w:firstLine="5280" w:firstLineChars="2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overflowPunct/>
        <w:topLinePunct w:val="0"/>
        <w:autoSpaceDE/>
        <w:autoSpaceDN/>
        <w:bidi w:val="0"/>
        <w:adjustRightInd/>
        <w:snapToGrid/>
        <w:spacing w:line="420" w:lineRule="exact"/>
        <w:ind w:firstLine="5280" w:firstLineChars="2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overflowPunct/>
        <w:topLinePunct w:val="0"/>
        <w:autoSpaceDE/>
        <w:autoSpaceDN/>
        <w:bidi w:val="0"/>
        <w:adjustRightInd/>
        <w:snapToGrid/>
        <w:spacing w:line="420" w:lineRule="exact"/>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overflowPunct/>
        <w:topLinePunct w:val="0"/>
        <w:autoSpaceDE/>
        <w:autoSpaceDN/>
        <w:bidi w:val="0"/>
        <w:adjustRightInd/>
        <w:snapToGrid/>
        <w:spacing w:line="420" w:lineRule="exact"/>
        <w:ind w:firstLine="5280" w:firstLineChars="2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广州青纸包装材料有限公司</w:t>
      </w:r>
      <w:r>
        <w:rPr>
          <w:rFonts w:hint="eastAsia" w:ascii="Times New Roman" w:hAnsi="Times New Roman" w:eastAsia="宋体"/>
          <w:color w:val="auto"/>
          <w:sz w:val="24"/>
          <w:szCs w:val="24"/>
          <w:lang w:eastAsia="zh-CN"/>
        </w:rPr>
        <w:t>　　　　</w:t>
      </w:r>
    </w:p>
    <w:p>
      <w:pPr>
        <w:keepNext w:val="0"/>
        <w:keepLines w:val="0"/>
        <w:pageBreakBefore w:val="0"/>
        <w:widowControl w:val="0"/>
        <w:kinsoku/>
        <w:overflowPunct/>
        <w:topLinePunct w:val="0"/>
        <w:autoSpaceDE/>
        <w:autoSpaceDN/>
        <w:bidi w:val="0"/>
        <w:adjustRightInd/>
        <w:snapToGrid/>
        <w:spacing w:line="420" w:lineRule="exact"/>
        <w:ind w:firstLine="5760" w:firstLineChars="2400"/>
        <w:textAlignment w:val="auto"/>
        <w:rPr>
          <w:rFonts w:hint="eastAsia" w:ascii="Times New Roman" w:hAnsi="Times New Roman" w:eastAsia="宋体"/>
          <w:color w:val="auto"/>
          <w:sz w:val="24"/>
          <w:szCs w:val="24"/>
          <w:lang w:eastAsia="zh-CN"/>
        </w:rPr>
      </w:pPr>
    </w:p>
    <w:p>
      <w:pPr>
        <w:keepNext w:val="0"/>
        <w:keepLines w:val="0"/>
        <w:pageBreakBefore w:val="0"/>
        <w:widowControl w:val="0"/>
        <w:kinsoku/>
        <w:overflowPunct/>
        <w:topLinePunct w:val="0"/>
        <w:autoSpaceDE/>
        <w:autoSpaceDN/>
        <w:bidi w:val="0"/>
        <w:adjustRightInd/>
        <w:snapToGrid/>
        <w:spacing w:line="420" w:lineRule="exact"/>
        <w:ind w:firstLine="5760" w:firstLineChars="2400"/>
        <w:textAlignment w:val="auto"/>
        <w:rPr>
          <w:rFonts w:hint="eastAsia" w:ascii="Times New Roman" w:hAnsi="Times New Roman" w:eastAsia="宋体" w:cs="Times New Roman"/>
          <w:bCs/>
          <w:color w:val="auto"/>
          <w:sz w:val="24"/>
          <w:szCs w:val="24"/>
        </w:rPr>
      </w:pPr>
      <w:r>
        <w:rPr>
          <w:rFonts w:hint="eastAsia" w:ascii="Times New Roman" w:hAnsi="Times New Roman" w:eastAsia="宋体"/>
          <w:color w:val="auto"/>
          <w:sz w:val="24"/>
          <w:szCs w:val="24"/>
          <w:lang w:eastAsia="zh-CN"/>
        </w:rPr>
        <w:t>202</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年</w:t>
      </w:r>
      <w:r>
        <w:rPr>
          <w:rFonts w:hint="eastAsia" w:ascii="Times New Roman" w:hAnsi="Times New Roman" w:eastAsia="宋体"/>
          <w:color w:val="auto"/>
          <w:sz w:val="24"/>
          <w:szCs w:val="24"/>
          <w:lang w:val="en-US" w:eastAsia="zh-CN"/>
        </w:rPr>
        <w:t>7</w:t>
      </w:r>
      <w:r>
        <w:rPr>
          <w:rFonts w:hint="eastAsia" w:ascii="Times New Roman" w:hAnsi="Times New Roman" w:eastAsia="宋体"/>
          <w:color w:val="auto"/>
          <w:sz w:val="24"/>
          <w:szCs w:val="24"/>
          <w:lang w:eastAsia="zh-CN"/>
        </w:rPr>
        <w:t>月</w:t>
      </w:r>
      <w:r>
        <w:rPr>
          <w:rFonts w:hint="eastAsia" w:ascii="Times New Roman" w:hAnsi="Times New Roman"/>
          <w:color w:val="auto"/>
          <w:sz w:val="24"/>
          <w:szCs w:val="24"/>
          <w:lang w:val="en-US" w:eastAsia="zh-CN"/>
        </w:rPr>
        <w:t>18</w:t>
      </w:r>
      <w:r>
        <w:rPr>
          <w:rFonts w:hint="eastAsia" w:ascii="Times New Roman" w:hAnsi="Times New Roman" w:eastAsia="宋体"/>
          <w:color w:val="auto"/>
          <w:sz w:val="24"/>
          <w:szCs w:val="24"/>
          <w:lang w:eastAsia="zh-CN"/>
        </w:rPr>
        <w:t>日　</w:t>
      </w:r>
    </w:p>
    <w:p>
      <w:pPr>
        <w:keepNext w:val="0"/>
        <w:keepLines w:val="0"/>
        <w:pageBreakBefore w:val="0"/>
        <w:widowControl w:val="0"/>
        <w:kinsoku/>
        <w:wordWrap w:val="0"/>
        <w:overflowPunct/>
        <w:topLinePunct w:val="0"/>
        <w:autoSpaceDE/>
        <w:autoSpaceDN/>
        <w:bidi w:val="0"/>
        <w:adjustRightInd/>
        <w:snapToGrid/>
        <w:spacing w:line="420" w:lineRule="exact"/>
        <w:ind w:firstLine="0" w:firstLineChars="0"/>
        <w:jc w:val="both"/>
        <w:textAlignment w:val="auto"/>
        <w:outlineLvl w:val="9"/>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1</w:t>
      </w:r>
      <w:r>
        <w:rPr>
          <w:rFonts w:hint="eastAsia" w:ascii="Times New Roman" w:hAnsi="Times New Roman" w:eastAsia="宋体" w:cs="Times New Roman"/>
          <w:bCs/>
          <w:color w:val="auto"/>
          <w:sz w:val="24"/>
          <w:szCs w:val="24"/>
        </w:rPr>
        <w:t>：法定代表人授权书（格式）</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20" w:lineRule="exact"/>
        <w:jc w:val="center"/>
        <w:textAlignment w:val="auto"/>
        <w:outlineLvl w:val="9"/>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20" w:lineRule="exact"/>
        <w:ind w:firstLine="480" w:firstLineChars="2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0" w:firstLineChars="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outlineLvl w:val="9"/>
        <w:rPr>
          <w:rFonts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宋体" w:hAnsi="宋体" w:eastAsia="宋体" w:cs="宋体"/>
          <w:sz w:val="28"/>
          <w:szCs w:val="28"/>
          <w:lang w:eastAsia="zh-CN"/>
        </w:rPr>
      </w:pPr>
    </w:p>
    <w:sectPr>
      <w:headerReference r:id="rId3" w:type="default"/>
      <w:footerReference r:id="rId4" w:type="default"/>
      <w:pgSz w:w="11906" w:h="16838"/>
      <w:pgMar w:top="981" w:right="1440" w:bottom="1172"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5926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5926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a4X5+zECAABh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7oaF19qPoL&#10;mDvLwlbvLI9ponrero4BYnYaR4F6VQbdMHldl4ZXEkf7z30X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kqMgHtUAAAAIAQAADwAAAAAAAAABACAAAAAiAAAAZHJzL2Rvd25yZXYueG1sUEsB&#10;AhQAFAAAAAgAh07iQGuF+fsxAgAAYQQAAA4AAAAAAAAAAQAgAAAAJAEAAGRycy9lMm9Eb2MueG1s&#10;UEsFBgAAAAAGAAYAWQEAAMc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751" w:firstLineChars="1310"/>
      <w:jc w:val="left"/>
      <w:textAlignment w:val="auto"/>
      <w:outlineLvl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C1C822"/>
    <w:multiLevelType w:val="singleLevel"/>
    <w:tmpl w:val="D9C1C822"/>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0YTRlNTkwYjU5MzkwNmMzYTgzOTRmMjBjM2NlZGQifQ=="/>
  </w:docVars>
  <w:rsids>
    <w:rsidRoot w:val="00000000"/>
    <w:rsid w:val="02335D77"/>
    <w:rsid w:val="049A0EE2"/>
    <w:rsid w:val="052B4F28"/>
    <w:rsid w:val="05695BD0"/>
    <w:rsid w:val="06DE03E2"/>
    <w:rsid w:val="09997EE7"/>
    <w:rsid w:val="09F86387"/>
    <w:rsid w:val="0AF65C4C"/>
    <w:rsid w:val="0C992A98"/>
    <w:rsid w:val="0D015163"/>
    <w:rsid w:val="0D592C37"/>
    <w:rsid w:val="0D5F3512"/>
    <w:rsid w:val="0E8B2E75"/>
    <w:rsid w:val="12BF4032"/>
    <w:rsid w:val="12DC1146"/>
    <w:rsid w:val="17E62151"/>
    <w:rsid w:val="183F5ADA"/>
    <w:rsid w:val="19CF43E9"/>
    <w:rsid w:val="19D304ED"/>
    <w:rsid w:val="1C857027"/>
    <w:rsid w:val="1D1A1A49"/>
    <w:rsid w:val="1FDC0B0B"/>
    <w:rsid w:val="1FF477CC"/>
    <w:rsid w:val="20287CB8"/>
    <w:rsid w:val="216E6218"/>
    <w:rsid w:val="23FF2BFE"/>
    <w:rsid w:val="24C550DC"/>
    <w:rsid w:val="24CA313E"/>
    <w:rsid w:val="26A9561F"/>
    <w:rsid w:val="279F091A"/>
    <w:rsid w:val="28467319"/>
    <w:rsid w:val="2BC45956"/>
    <w:rsid w:val="2C525A9B"/>
    <w:rsid w:val="2D6E3876"/>
    <w:rsid w:val="2D91433C"/>
    <w:rsid w:val="2EA81856"/>
    <w:rsid w:val="301B3B01"/>
    <w:rsid w:val="310904D1"/>
    <w:rsid w:val="315644D0"/>
    <w:rsid w:val="31BD57A7"/>
    <w:rsid w:val="33DD320D"/>
    <w:rsid w:val="33F87B1A"/>
    <w:rsid w:val="35606AE4"/>
    <w:rsid w:val="35E5575B"/>
    <w:rsid w:val="37307DA0"/>
    <w:rsid w:val="37321D6A"/>
    <w:rsid w:val="39E9615C"/>
    <w:rsid w:val="3C393259"/>
    <w:rsid w:val="3C5513A3"/>
    <w:rsid w:val="3C7C5725"/>
    <w:rsid w:val="3D9A2B8C"/>
    <w:rsid w:val="3E4F62F6"/>
    <w:rsid w:val="3E832FBD"/>
    <w:rsid w:val="3EF50209"/>
    <w:rsid w:val="3F550899"/>
    <w:rsid w:val="3F731E14"/>
    <w:rsid w:val="40AA422C"/>
    <w:rsid w:val="45AD2346"/>
    <w:rsid w:val="47AE7B71"/>
    <w:rsid w:val="47BB01F2"/>
    <w:rsid w:val="48571F9B"/>
    <w:rsid w:val="485A1FE6"/>
    <w:rsid w:val="494848CE"/>
    <w:rsid w:val="4ACF470A"/>
    <w:rsid w:val="4EF840D3"/>
    <w:rsid w:val="510D00AA"/>
    <w:rsid w:val="52835AA5"/>
    <w:rsid w:val="574E15B7"/>
    <w:rsid w:val="5CF858C9"/>
    <w:rsid w:val="5DAE499A"/>
    <w:rsid w:val="5F194A83"/>
    <w:rsid w:val="5F6F0FB4"/>
    <w:rsid w:val="5FF13181"/>
    <w:rsid w:val="600F4EDB"/>
    <w:rsid w:val="621C761D"/>
    <w:rsid w:val="655834F7"/>
    <w:rsid w:val="65C63344"/>
    <w:rsid w:val="661C08AC"/>
    <w:rsid w:val="66411EF9"/>
    <w:rsid w:val="67157C63"/>
    <w:rsid w:val="674E2FFC"/>
    <w:rsid w:val="68E3273E"/>
    <w:rsid w:val="69CB5362"/>
    <w:rsid w:val="6ADB056C"/>
    <w:rsid w:val="6AF32396"/>
    <w:rsid w:val="6B0726BC"/>
    <w:rsid w:val="6B773290"/>
    <w:rsid w:val="6D0F5985"/>
    <w:rsid w:val="6D1B61F6"/>
    <w:rsid w:val="6D837F22"/>
    <w:rsid w:val="6F9632D1"/>
    <w:rsid w:val="701A7798"/>
    <w:rsid w:val="71E749FC"/>
    <w:rsid w:val="71F55825"/>
    <w:rsid w:val="74D1558C"/>
    <w:rsid w:val="759C6C29"/>
    <w:rsid w:val="76EF5943"/>
    <w:rsid w:val="770D5235"/>
    <w:rsid w:val="773131F3"/>
    <w:rsid w:val="7821563D"/>
    <w:rsid w:val="7952415F"/>
    <w:rsid w:val="7B657139"/>
    <w:rsid w:val="7C2E0B76"/>
    <w:rsid w:val="7CB37074"/>
    <w:rsid w:val="7CD61DA0"/>
    <w:rsid w:val="7E9738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0"/>
    <w:rPr>
      <w:b/>
      <w:bCs/>
    </w:rPr>
  </w:style>
  <w:style w:type="character" w:styleId="11">
    <w:name w:val="page number"/>
    <w:basedOn w:val="9"/>
    <w:qFormat/>
    <w:uiPriority w:val="0"/>
  </w:style>
  <w:style w:type="character" w:styleId="12">
    <w:name w:val="FollowedHyperlink"/>
    <w:basedOn w:val="9"/>
    <w:qFormat/>
    <w:uiPriority w:val="0"/>
    <w:rPr>
      <w:color w:val="800080"/>
      <w:u w:val="single"/>
    </w:rPr>
  </w:style>
  <w:style w:type="character" w:styleId="13">
    <w:name w:val="Hyperlink"/>
    <w:basedOn w:val="9"/>
    <w:unhideWhenUsed/>
    <w:qFormat/>
    <w:uiPriority w:val="99"/>
    <w:rPr>
      <w:color w:val="0000FF"/>
      <w:u w:val="single"/>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3274</Words>
  <Characters>3681</Characters>
  <Lines>0</Lines>
  <Paragraphs>0</Paragraphs>
  <TotalTime>15</TotalTime>
  <ScaleCrop>false</ScaleCrop>
  <LinksUpToDate>false</LinksUpToDate>
  <CharactersWithSpaces>3847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伊薛平</cp:lastModifiedBy>
  <dcterms:modified xsi:type="dcterms:W3CDTF">2023-07-20T07:28:24Z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6B63C2ADF8424D0D9560F2073E5BB7E1_13</vt:lpwstr>
  </property>
</Properties>
</file>