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17" w:lineRule="atLeast"/>
        <w:ind w:left="0" w:right="0" w:firstLine="0"/>
        <w:jc w:val="center"/>
        <w:textAlignment w:val="center"/>
        <w:rPr>
          <w:rFonts w:hint="eastAsia" w:ascii="微软雅黑" w:hAnsi="微软雅黑" w:eastAsia="微软雅黑" w:cs="微软雅黑"/>
          <w:i w:val="0"/>
          <w:iCs w:val="0"/>
          <w:caps w:val="0"/>
          <w:color w:val="262626"/>
          <w:spacing w:val="0"/>
          <w:kern w:val="0"/>
          <w:sz w:val="36"/>
          <w:szCs w:val="36"/>
          <w:shd w:val="clear" w:fill="FFFFFF"/>
          <w:lang w:val="en-US" w:eastAsia="zh-CN" w:bidi="ar"/>
        </w:rPr>
      </w:pPr>
      <w:r>
        <w:rPr>
          <w:rFonts w:hint="eastAsia" w:ascii="微软雅黑" w:hAnsi="微软雅黑" w:eastAsia="微软雅黑" w:cs="微软雅黑"/>
          <w:i w:val="0"/>
          <w:iCs w:val="0"/>
          <w:caps w:val="0"/>
          <w:color w:val="262626"/>
          <w:spacing w:val="0"/>
          <w:kern w:val="0"/>
          <w:sz w:val="36"/>
          <w:szCs w:val="36"/>
          <w:shd w:val="clear" w:fill="FFFFFF"/>
          <w:lang w:val="en-US" w:eastAsia="zh-CN" w:bidi="ar"/>
        </w:rPr>
        <w:t>2023GQ002广州青纸包装材料有限公司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17" w:lineRule="atLeast"/>
        <w:ind w:left="0" w:right="0" w:firstLine="0"/>
        <w:jc w:val="center"/>
        <w:textAlignment w:val="center"/>
        <w:rPr>
          <w:rFonts w:ascii="微软雅黑" w:hAnsi="微软雅黑" w:eastAsia="微软雅黑" w:cs="微软雅黑"/>
          <w:i w:val="0"/>
          <w:iCs w:val="0"/>
          <w:caps w:val="0"/>
          <w:color w:val="262626"/>
          <w:spacing w:val="0"/>
          <w:sz w:val="36"/>
          <w:szCs w:val="36"/>
        </w:rPr>
      </w:pPr>
      <w:r>
        <w:rPr>
          <w:rFonts w:hint="eastAsia" w:ascii="微软雅黑" w:hAnsi="微软雅黑" w:eastAsia="微软雅黑" w:cs="微软雅黑"/>
          <w:i w:val="0"/>
          <w:iCs w:val="0"/>
          <w:caps w:val="0"/>
          <w:color w:val="262626"/>
          <w:spacing w:val="0"/>
          <w:kern w:val="0"/>
          <w:sz w:val="36"/>
          <w:szCs w:val="36"/>
          <w:shd w:val="clear" w:fill="FFFFFF"/>
          <w:lang w:val="en-US" w:eastAsia="zh-CN" w:bidi="ar"/>
        </w:rPr>
        <w:t>行车及钢构安装制作招标文件</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color w:val="auto"/>
          <w:sz w:val="24"/>
          <w:szCs w:val="24"/>
          <w:lang w:val="en-US" w:eastAsia="zh-CN"/>
        </w:rPr>
      </w:pP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广州青纸包装材料有限公司制袋设备行车及其轨道钢结构建设</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20" w:lineRule="exact"/>
        <w:ind w:left="479" w:leftChars="228" w:firstLine="0" w:firstLineChars="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2.1</w:t>
      </w:r>
      <w:r>
        <w:rPr>
          <w:rFonts w:hint="eastAsia" w:ascii="Times New Roman" w:hAnsi="Times New Roman"/>
          <w:b w:val="0"/>
          <w:bCs/>
          <w:color w:val="auto"/>
          <w:sz w:val="24"/>
          <w:szCs w:val="24"/>
          <w:lang w:val="en-US" w:eastAsia="zh-CN"/>
        </w:rPr>
        <w:t>项目要求：投标人应先到原现场进行实物测绘，获得数据后，到新场地根据新场地的实际情况自行设计符合要求的图纸，并按图报价施工</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2.2</w:t>
      </w:r>
      <w:r>
        <w:rPr>
          <w:rFonts w:hint="eastAsia" w:ascii="Times New Roman" w:hAnsi="Times New Roman"/>
          <w:b w:val="0"/>
          <w:bCs/>
          <w:color w:val="auto"/>
          <w:sz w:val="24"/>
          <w:szCs w:val="24"/>
          <w:lang w:val="en-US" w:eastAsia="zh-CN"/>
        </w:rPr>
        <w:t>建设</w:t>
      </w:r>
      <w:r>
        <w:rPr>
          <w:rFonts w:hint="eastAsia" w:ascii="Times New Roman" w:hAnsi="Times New Roman" w:eastAsia="宋体"/>
          <w:b w:val="0"/>
          <w:bCs/>
          <w:color w:val="auto"/>
          <w:sz w:val="24"/>
          <w:szCs w:val="24"/>
          <w:lang w:eastAsia="zh-CN"/>
        </w:rPr>
        <w:t>内容：</w:t>
      </w:r>
    </w:p>
    <w:p>
      <w:pPr>
        <w:keepNext w:val="0"/>
        <w:keepLines w:val="0"/>
        <w:pageBreakBefore w:val="0"/>
        <w:widowControl w:val="0"/>
        <w:numPr>
          <w:ilvl w:val="0"/>
          <w:numId w:val="2"/>
        </w:numPr>
        <w:kinsoku/>
        <w:wordWrap/>
        <w:overflowPunct/>
        <w:topLinePunct w:val="0"/>
        <w:autoSpaceDE/>
        <w:autoSpaceDN/>
        <w:bidi w:val="0"/>
        <w:adjustRightInd/>
        <w:snapToGrid/>
        <w:spacing w:line="420" w:lineRule="exact"/>
        <w:ind w:left="479" w:leftChars="228" w:firstLine="240" w:firstLineChars="100"/>
        <w:textAlignment w:val="auto"/>
        <w:outlineLvl w:val="9"/>
        <w:rPr>
          <w:rFonts w:hint="eastAsia"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安装全新2T-LD型变频桥式起重机一台，包含行车运行轨道，投标方因根据招标方的现场测绘数据，自行设计钢结构安装图，安装图纸设计完成后需报投标方审核，经招标方审核通过后才可以参加投标，投标方根据图纸自行安装上述行车的钢架结构及运行轨道，以上钢架结构及轨道要求能满足上述行车的运行要求，确保行车能安全平稳运行。</w:t>
      </w:r>
    </w:p>
    <w:p>
      <w:pPr>
        <w:keepNext w:val="0"/>
        <w:keepLines w:val="0"/>
        <w:pageBreakBefore w:val="0"/>
        <w:widowControl w:val="0"/>
        <w:numPr>
          <w:ilvl w:val="0"/>
          <w:numId w:val="2"/>
        </w:numPr>
        <w:kinsoku/>
        <w:wordWrap/>
        <w:overflowPunct/>
        <w:topLinePunct w:val="0"/>
        <w:autoSpaceDE/>
        <w:autoSpaceDN/>
        <w:bidi w:val="0"/>
        <w:adjustRightInd/>
        <w:snapToGrid/>
        <w:spacing w:line="420" w:lineRule="exact"/>
        <w:ind w:left="479" w:leftChars="228" w:firstLine="240" w:firstLineChars="100"/>
        <w:textAlignment w:val="auto"/>
        <w:outlineLvl w:val="9"/>
        <w:rPr>
          <w:rFonts w:hint="eastAsia"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行车横向轨道总行程不少于32米，行车跨度14米，轨道支撑立柱每根间隔8米，且应与招标方原厂房的立柱对齐配置，非靠墙面的一侧立柱应预留另外一侧配置行车的支撑功能，以备招标方以后扩建项目使用，支撑立柱地基的开挖、浇筑、回填等工作全部由投标方负责，投标人应能提供或协助招标人取得特种设备安全检验合格证书，行车的具体技术要求如下表：</w:t>
      </w:r>
    </w:p>
    <w:p>
      <w:pPr>
        <w:pStyle w:val="2"/>
        <w:numPr>
          <w:ilvl w:val="0"/>
          <w:numId w:val="0"/>
        </w:numPr>
        <w:rPr>
          <w:rFonts w:hint="default"/>
          <w:lang w:val="en-US" w:eastAsia="zh-CN"/>
        </w:rPr>
      </w:pPr>
      <w:r>
        <w:rPr>
          <w:rFonts w:hint="eastAsia"/>
          <w:lang w:val="en-US" w:eastAsia="zh-CN"/>
        </w:rPr>
        <w:t xml:space="preserve">   </w:t>
      </w:r>
    </w:p>
    <w:tbl>
      <w:tblPr>
        <w:tblStyle w:val="9"/>
        <w:tblpPr w:leftFromText="180" w:rightFromText="180" w:vertAnchor="text" w:horzAnchor="page" w:tblpX="2400" w:tblpY="5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5"/>
        <w:gridCol w:w="1443"/>
        <w:gridCol w:w="1315"/>
        <w:gridCol w:w="1503"/>
        <w:gridCol w:w="1315"/>
        <w:gridCol w:w="1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lang w:val="en-US" w:eastAsia="zh-CN"/>
              </w:rPr>
              <w:t>起重量</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lang w:val="en-US" w:eastAsia="zh-CN"/>
              </w:rPr>
              <w:t>2T</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lang w:val="en-US" w:eastAsia="zh-CN"/>
              </w:rPr>
              <w:t>跨度</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lang w:val="en-US" w:eastAsia="zh-CN"/>
              </w:rPr>
              <w:t>14M</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lang w:val="en-US" w:eastAsia="zh-CN"/>
              </w:rPr>
              <w:t>起升高度</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lang w:val="en-US" w:eastAsia="zh-CN"/>
              </w:rPr>
              <w:t>4.5m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lang w:val="en-US" w:eastAsia="zh-CN"/>
              </w:rPr>
              <w:t>工作级别</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lang w:val="en-US" w:eastAsia="zh-CN"/>
              </w:rPr>
              <w:t>A3</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lang w:val="en-US" w:eastAsia="zh-CN"/>
              </w:rPr>
              <w:t>起升速度</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lang w:val="en-US" w:eastAsia="zh-CN"/>
              </w:rPr>
              <w:t>0.8—5m/min</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vertAlign w:val="baseline"/>
                <w:lang w:val="en-US" w:eastAsia="zh-CN"/>
              </w:rPr>
              <w:t>操纵模式</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vertAlign w:val="baseline"/>
                <w:lang w:val="en-US" w:eastAsia="zh-CN"/>
              </w:rPr>
              <w:t>遥控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vertAlign w:val="baseline"/>
                <w:lang w:val="en-US" w:eastAsia="zh-CN"/>
              </w:rPr>
              <w:t>大车速度</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vertAlign w:val="baseline"/>
                <w:lang w:val="en-US" w:eastAsia="zh-CN"/>
              </w:rPr>
              <w:t>2—20m/min</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vertAlign w:val="baseline"/>
                <w:lang w:val="en-US" w:eastAsia="zh-CN"/>
              </w:rPr>
              <w:t>小车速度</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eastAsia"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vertAlign w:val="baseline"/>
                <w:lang w:val="en-US" w:eastAsia="zh-CN"/>
              </w:rPr>
              <w:t>2—20m/min</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vertAlign w:val="baseline"/>
                <w:lang w:val="en-US" w:eastAsia="zh-CN"/>
              </w:rPr>
              <w:t>数量</w:t>
            </w:r>
          </w:p>
        </w:tc>
        <w:tc>
          <w:tcPr>
            <w:tcW w:w="131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color w:val="auto"/>
                <w:sz w:val="24"/>
                <w:szCs w:val="24"/>
                <w:vertAlign w:val="baseline"/>
                <w:lang w:val="en-US" w:eastAsia="zh-CN"/>
              </w:rPr>
            </w:pPr>
            <w:r>
              <w:rPr>
                <w:rFonts w:hint="eastAsia" w:ascii="Times New Roman" w:hAnsi="Times New Roman"/>
                <w:b w:val="0"/>
                <w:bCs/>
                <w:color w:val="auto"/>
                <w:sz w:val="24"/>
                <w:szCs w:val="24"/>
                <w:vertAlign w:val="baseline"/>
                <w:lang w:val="en-US" w:eastAsia="zh-CN"/>
              </w:rPr>
              <w:t>1台</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outlineLvl w:val="9"/>
        <w:rPr>
          <w:rFonts w:hint="eastAsia" w:ascii="Times New Roman" w:hAnsi="Times New Roman"/>
          <w:b w:val="0"/>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Times New Roman" w:hAnsi="Times New Roman" w:eastAsia="宋体"/>
          <w:b w:val="0"/>
          <w:bCs/>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b w:val="0"/>
          <w:bCs/>
          <w:color w:val="auto"/>
          <w:sz w:val="24"/>
          <w:szCs w:val="24"/>
          <w:lang w:val="en-US" w:eastAsia="zh-CN"/>
        </w:rPr>
      </w:pPr>
      <w:r>
        <w:rPr>
          <w:rFonts w:hint="eastAsia" w:ascii="Times New Roman" w:hAnsi="Times New Roman" w:eastAsia="宋体"/>
          <w:b w:val="0"/>
          <w:bCs/>
          <w:color w:val="auto"/>
          <w:sz w:val="24"/>
          <w:szCs w:val="24"/>
          <w:lang w:eastAsia="zh-CN"/>
        </w:rPr>
        <w:t>（</w:t>
      </w:r>
      <w:r>
        <w:rPr>
          <w:rFonts w:hint="eastAsia" w:ascii="Times New Roman" w:hAnsi="Times New Roman"/>
          <w:b w:val="0"/>
          <w:bCs/>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ind w:left="855" w:leftChars="341" w:hanging="139" w:hangingChars="58"/>
        <w:textAlignment w:val="auto"/>
        <w:outlineLvl w:val="9"/>
        <w:rPr>
          <w:rFonts w:hint="eastAsia"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20" w:firstLineChars="300"/>
        <w:textAlignment w:val="auto"/>
        <w:outlineLvl w:val="9"/>
        <w:rPr>
          <w:rFonts w:hint="eastAsia"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（3）</w:t>
      </w:r>
      <w:r>
        <w:rPr>
          <w:rFonts w:hint="eastAsia" w:ascii="Times New Roman" w:hAnsi="Times New Roman" w:eastAsia="宋体"/>
          <w:b w:val="0"/>
          <w:bCs/>
          <w:color w:val="auto"/>
          <w:sz w:val="24"/>
          <w:szCs w:val="24"/>
          <w:lang w:val="en-US" w:eastAsia="zh-CN"/>
        </w:rPr>
        <w:t>不可预见情况处理</w:t>
      </w:r>
      <w:r>
        <w:rPr>
          <w:rFonts w:hint="eastAsia" w:ascii="Times New Roman" w:hAnsi="Times New Roman"/>
          <w:b w:val="0"/>
          <w:bCs/>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ind w:left="958" w:leftChars="342" w:hanging="240" w:hangingChars="1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b w:val="0"/>
          <w:bCs/>
          <w:color w:val="auto"/>
          <w:sz w:val="24"/>
          <w:szCs w:val="24"/>
          <w:lang w:val="en-US" w:eastAsia="zh-CN"/>
        </w:rPr>
        <w:t>（4）</w:t>
      </w:r>
      <w:r>
        <w:rPr>
          <w:rFonts w:hint="eastAsia" w:ascii="Times New Roman" w:hAnsi="Times New Roman" w:eastAsia="宋体"/>
          <w:b w:val="0"/>
          <w:bCs/>
          <w:color w:val="auto"/>
          <w:sz w:val="24"/>
          <w:szCs w:val="24"/>
          <w:lang w:val="en-US" w:eastAsia="zh-CN"/>
        </w:rPr>
        <w:t>以上范围所涉及的材料请投标方在投标时在标书中列出数量规格以及材质并加以说明。</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3.主要技术、质量的要求</w:t>
      </w:r>
    </w:p>
    <w:p>
      <w:pPr>
        <w:keepNext w:val="0"/>
        <w:keepLines w:val="0"/>
        <w:pageBreakBefore w:val="0"/>
        <w:widowControl w:val="0"/>
        <w:kinsoku/>
        <w:wordWrap/>
        <w:overflowPunct/>
        <w:topLinePunct w:val="0"/>
        <w:autoSpaceDE/>
        <w:autoSpaceDN/>
        <w:bidi w:val="0"/>
        <w:adjustRightInd/>
        <w:snapToGrid/>
        <w:spacing w:line="420" w:lineRule="exact"/>
        <w:ind w:left="479" w:leftChars="228" w:firstLine="0" w:firstLineChars="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w:t>
      </w:r>
      <w:r>
        <w:rPr>
          <w:rFonts w:hint="eastAsia" w:ascii="Times New Roman" w:hAnsi="Times New Roman"/>
          <w:b w:val="0"/>
          <w:bCs w:val="0"/>
          <w:color w:val="auto"/>
          <w:sz w:val="24"/>
          <w:szCs w:val="24"/>
          <w:lang w:val="en-US" w:eastAsia="zh-CN"/>
        </w:rPr>
        <w:t>1行车安装</w:t>
      </w:r>
      <w:r>
        <w:rPr>
          <w:rFonts w:hint="eastAsia" w:ascii="Times New Roman" w:hAnsi="Times New Roman"/>
          <w:b w:val="0"/>
          <w:bCs/>
          <w:color w:val="auto"/>
          <w:sz w:val="24"/>
          <w:szCs w:val="24"/>
          <w:lang w:val="en-US" w:eastAsia="zh-CN"/>
        </w:rPr>
        <w:t>符合《起重设备安装工程施工及验收规范》（GB50278-988）</w:t>
      </w:r>
      <w:r>
        <w:rPr>
          <w:rFonts w:hint="eastAsia" w:ascii="Times New Roman" w:hAnsi="Times New Roman" w:eastAsia="宋体"/>
          <w:b w:val="0"/>
          <w:bCs w:val="0"/>
          <w:color w:val="auto"/>
          <w:sz w:val="24"/>
          <w:szCs w:val="24"/>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ind w:left="479" w:leftChars="228" w:firstLine="0" w:firstLineChars="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w:t>
      </w:r>
      <w:r>
        <w:rPr>
          <w:rFonts w:hint="eastAsia" w:ascii="Times New Roman" w:hAnsi="Times New Roman"/>
          <w:b w:val="0"/>
          <w:bCs w:val="0"/>
          <w:color w:val="auto"/>
          <w:sz w:val="24"/>
          <w:szCs w:val="24"/>
          <w:lang w:val="en-US" w:eastAsia="zh-CN"/>
        </w:rPr>
        <w:t>2</w:t>
      </w:r>
      <w:r>
        <w:rPr>
          <w:rFonts w:hint="eastAsia" w:ascii="Times New Roman" w:hAnsi="Times New Roman" w:eastAsia="宋体"/>
          <w:b w:val="0"/>
          <w:bCs w:val="0"/>
          <w:color w:val="auto"/>
          <w:sz w:val="24"/>
          <w:szCs w:val="24"/>
          <w:lang w:val="en-US" w:eastAsia="zh-CN"/>
        </w:rPr>
        <w:t>钢构施工按《钢结构工程施工及验收规范》（GB50205-2001）进行施工。</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w:t>
      </w:r>
      <w:r>
        <w:rPr>
          <w:rFonts w:hint="eastAsia" w:ascii="Times New Roman" w:hAnsi="Times New Roman"/>
          <w:b w:val="0"/>
          <w:bCs w:val="0"/>
          <w:color w:val="auto"/>
          <w:sz w:val="24"/>
          <w:szCs w:val="24"/>
          <w:lang w:val="en-US" w:eastAsia="zh-CN"/>
        </w:rPr>
        <w:t>3</w:t>
      </w:r>
      <w:r>
        <w:rPr>
          <w:rFonts w:hint="eastAsia" w:ascii="Times New Roman" w:hAnsi="Times New Roman" w:eastAsia="宋体"/>
          <w:b w:val="0"/>
          <w:bCs w:val="0"/>
          <w:color w:val="auto"/>
          <w:sz w:val="24"/>
          <w:szCs w:val="24"/>
          <w:lang w:val="en-US" w:eastAsia="zh-CN"/>
        </w:rPr>
        <w:t>高空作业安全技术符合JGJ80-2016《建筑施工高处作业安全技术规范》要求。</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施工工期及地点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4.1工期：合同签订后</w:t>
      </w:r>
      <w:r>
        <w:rPr>
          <w:rFonts w:hint="eastAsia" w:ascii="Times New Roman" w:hAnsi="Times New Roman"/>
          <w:b w:val="0"/>
          <w:bCs/>
          <w:color w:val="auto"/>
          <w:sz w:val="24"/>
          <w:szCs w:val="24"/>
          <w:lang w:val="en-US" w:eastAsia="zh-CN"/>
        </w:rPr>
        <w:t>20</w:t>
      </w:r>
      <w:r>
        <w:rPr>
          <w:rFonts w:hint="eastAsia" w:ascii="Times New Roman" w:hAnsi="Times New Roman" w:eastAsia="宋体"/>
          <w:b w:val="0"/>
          <w:bCs/>
          <w:color w:val="auto"/>
          <w:sz w:val="24"/>
          <w:szCs w:val="24"/>
          <w:lang w:val="en-US" w:eastAsia="zh-CN"/>
        </w:rPr>
        <w:t>日历天内完成所有工作。</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4.2地点：</w:t>
      </w:r>
      <w:r>
        <w:rPr>
          <w:rFonts w:hint="eastAsia" w:ascii="Times New Roman" w:hAnsi="Times New Roman"/>
          <w:b w:val="0"/>
          <w:bCs/>
          <w:color w:val="auto"/>
          <w:sz w:val="24"/>
          <w:szCs w:val="24"/>
          <w:lang w:val="en-US" w:eastAsia="zh-CN"/>
        </w:rPr>
        <w:t>广东省惠州市闽环纸品</w:t>
      </w:r>
      <w:r>
        <w:rPr>
          <w:rFonts w:hint="eastAsia" w:ascii="Times New Roman" w:hAnsi="Times New Roman" w:eastAsia="宋体"/>
          <w:b w:val="0"/>
          <w:bCs/>
          <w:color w:val="auto"/>
          <w:sz w:val="24"/>
          <w:szCs w:val="24"/>
          <w:lang w:val="en-US" w:eastAsia="zh-CN"/>
        </w:rPr>
        <w:t>股份有限公司指定区域内。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5.1投标人应是具有独立法人资格、信用良好的国内企业</w:t>
      </w:r>
      <w:r>
        <w:rPr>
          <w:rFonts w:hint="eastAsia" w:ascii="Times New Roman" w:hAnsi="Times New Roman"/>
          <w:b w:val="0"/>
          <w:bCs w:val="0"/>
          <w:color w:val="auto"/>
          <w:sz w:val="24"/>
          <w:szCs w:val="24"/>
          <w:lang w:val="en-US" w:eastAsia="zh-CN"/>
        </w:rPr>
        <w:t>，投标人应具有起重机械安装许可资质，具有钢架结构起重机械安装业绩（需提供相关合作合同）。</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5.2本项目部分为高处作业，投标单位现场操作人员应有高处作业证。（投标文件中需提供复印件）</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6.1招标方负责提供现场照明、水源、施工电源（含费用）。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6.2中标方施工前须办理开工报告。</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6.3中标方包工包料进行施工。</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6.4中标方自备所有施工工具。</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6.5运输费用、起重作业、脚手架、食宿由中标方负责。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6.6在施工过程中应采取必要的安全防范措施，确保招标方设备的安全，若中标方原因造成设备的损坏，中标方应负责赔偿损失。中标方安全责任自负，承担由于自身安全措施不力造成安全事故的责任和因此产生的费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6.7中标方在施工过程中废弃的物品应堆放在招标方指定的地点并由招标方负责处理。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6.8中标方施工垃圾应及时清理干净，保持现场整洁。</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：质量保证期为工程验收合格后12个月，投标人可承诺更长的质保期。</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：项目验收合格后招标方财务部收到全额发票</w:t>
      </w:r>
      <w:r>
        <w:rPr>
          <w:rFonts w:hint="eastAsia" w:ascii="Times New Roman" w:hAnsi="Times New Roman"/>
          <w:b w:val="0"/>
          <w:bCs/>
          <w:color w:val="auto"/>
          <w:sz w:val="24"/>
          <w:szCs w:val="24"/>
          <w:lang w:val="en-US" w:eastAsia="zh-CN"/>
        </w:rPr>
        <w:t>30</w:t>
      </w:r>
      <w:r>
        <w:rPr>
          <w:rFonts w:hint="eastAsia" w:ascii="Times New Roman" w:hAnsi="Times New Roman" w:eastAsia="宋体"/>
          <w:b w:val="0"/>
          <w:bCs/>
          <w:color w:val="auto"/>
          <w:sz w:val="24"/>
          <w:szCs w:val="24"/>
          <w:lang w:eastAsia="zh-CN"/>
        </w:rPr>
        <w:t>天</w:t>
      </w:r>
      <w:r>
        <w:rPr>
          <w:rFonts w:hint="eastAsia" w:ascii="Times New Roman" w:hAnsi="Times New Roman"/>
          <w:b w:val="0"/>
          <w:bCs/>
          <w:color w:val="auto"/>
          <w:sz w:val="24"/>
          <w:szCs w:val="24"/>
          <w:lang w:val="en-US" w:eastAsia="zh-CN"/>
        </w:rPr>
        <w:t>内</w:t>
      </w:r>
      <w:r>
        <w:rPr>
          <w:rFonts w:hint="eastAsia" w:ascii="Times New Roman" w:hAnsi="Times New Roman" w:eastAsia="宋体"/>
          <w:b w:val="0"/>
          <w:bCs/>
          <w:color w:val="auto"/>
          <w:sz w:val="24"/>
          <w:szCs w:val="24"/>
          <w:lang w:eastAsia="zh-CN"/>
        </w:rPr>
        <w:t>支付工程总合同价的90%，质保金为总合同价的10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，在质保期满后三十天内付清，质保金不计利息。人民币报价和结算，中标人须开具增值税专用发票（税率13%、9%必须在标书中说明）。</w:t>
      </w:r>
      <w:r>
        <w:rPr>
          <w:rFonts w:hint="eastAsia" w:ascii="Times New Roman" w:hAnsi="Times New Roman" w:eastAsia="宋体"/>
          <w:b/>
          <w:bCs w:val="0"/>
          <w:color w:val="auto"/>
          <w:sz w:val="24"/>
          <w:szCs w:val="24"/>
          <w:lang w:eastAsia="zh-CN"/>
        </w:rPr>
        <w:t>（本付款方式不得偏离，否则投标将被否决）</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2报价为含13%或9%增值税专用发票到厂价，以一票制方式结算。</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9.3本项目设置招标控制价为</w:t>
      </w:r>
      <w:r>
        <w:rPr>
          <w:rFonts w:hint="eastAsia" w:ascii="Times New Roman" w:hAnsi="Times New Roman"/>
          <w:b/>
          <w:bCs/>
          <w:color w:val="auto"/>
          <w:sz w:val="24"/>
          <w:szCs w:val="24"/>
          <w:lang w:val="en-US" w:eastAsia="zh-CN"/>
        </w:rPr>
        <w:t>贰</w:t>
      </w:r>
      <w:r>
        <w:rPr>
          <w:rFonts w:hint="eastAsia" w:ascii="Times New Roman" w:hAnsi="Times New Roman" w:eastAsia="宋体"/>
          <w:b/>
          <w:bCs/>
          <w:color w:val="auto"/>
          <w:sz w:val="24"/>
          <w:szCs w:val="24"/>
          <w:lang w:val="en-US" w:eastAsia="zh-CN"/>
        </w:rPr>
        <w:t>拾万元整（¥</w:t>
      </w:r>
      <w:r>
        <w:rPr>
          <w:rFonts w:hint="eastAsia" w:ascii="Times New Roman" w:hAnsi="Times New Roman"/>
          <w:b/>
          <w:bCs/>
          <w:color w:val="auto"/>
          <w:sz w:val="24"/>
          <w:szCs w:val="24"/>
          <w:lang w:val="en-US" w:eastAsia="zh-CN"/>
        </w:rPr>
        <w:t>20</w:t>
      </w:r>
      <w:r>
        <w:rPr>
          <w:rFonts w:hint="eastAsia" w:ascii="Times New Roman" w:hAnsi="Times New Roman" w:eastAsia="宋体"/>
          <w:b/>
          <w:bCs/>
          <w:color w:val="auto"/>
          <w:sz w:val="24"/>
          <w:szCs w:val="24"/>
          <w:lang w:val="en-US" w:eastAsia="zh-CN"/>
        </w:rPr>
        <w:t>0000）</w:t>
      </w:r>
      <w:r>
        <w:rPr>
          <w:rFonts w:hint="eastAsia" w:ascii="Times New Roman" w:hAnsi="Times New Roman" w:eastAsia="宋体"/>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10.2投标人报价超过招标控制价的，否决其投标。</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评分项目：</w:t>
      </w:r>
    </w:p>
    <w:tbl>
      <w:tblPr>
        <w:tblStyle w:val="8"/>
        <w:tblW w:w="84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37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181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10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w:t>
            </w:r>
            <w:r>
              <w:rPr>
                <w:rFonts w:hint="eastAsia" w:ascii="Times New Roman" w:hAnsi="Times New Roman" w:eastAsia="宋体" w:cs="Times New Roman"/>
                <w:color w:val="auto"/>
                <w:kern w:val="0"/>
                <w:szCs w:val="21"/>
                <w:lang w:val="en-US" w:eastAsia="zh-CN"/>
              </w:rPr>
              <w:t xml:space="preserve">  </w:t>
            </w:r>
            <w:r>
              <w:rPr>
                <w:rFonts w:hint="eastAsia" w:ascii="Times New Roman" w:hAnsi="Times New Roman" w:eastAsia="宋体" w:cs="Times New Roman"/>
                <w:color w:val="auto"/>
                <w:kern w:val="0"/>
                <w:szCs w:val="21"/>
              </w:rPr>
              <w:t>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1.施工方案：20分；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2.安全措施：5分；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3.材料：5分</w:t>
            </w:r>
            <w:r>
              <w:rPr>
                <w:rFonts w:hint="eastAsia" w:ascii="Times New Roman" w:hAnsi="Times New Roman" w:eastAsia="宋体" w:cs="Times New Roman"/>
                <w:color w:val="auto"/>
                <w:kern w:val="0"/>
                <w:szCs w:val="21"/>
                <w:lang w:val="en-US" w:eastAsia="zh-CN"/>
              </w:rPr>
              <w:t>；</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4.不满足施工安全及技术要求的，按废标处理。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10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1.</w:t>
            </w:r>
            <w:r>
              <w:rPr>
                <w:rFonts w:hint="eastAsia" w:ascii="Times New Roman" w:hAnsi="Times New Roman" w:cs="Times New Roman"/>
                <w:color w:val="auto"/>
                <w:kern w:val="0"/>
                <w:szCs w:val="21"/>
                <w:lang w:val="en-US" w:eastAsia="zh-CN"/>
              </w:rPr>
              <w:t>具有钢结构起重机械安装</w:t>
            </w:r>
            <w:r>
              <w:rPr>
                <w:rFonts w:hint="eastAsia" w:ascii="Times New Roman" w:hAnsi="Times New Roman" w:eastAsia="宋体" w:cs="Times New Roman"/>
                <w:color w:val="auto"/>
                <w:kern w:val="0"/>
                <w:szCs w:val="21"/>
                <w:lang w:eastAsia="zh-CN"/>
              </w:rPr>
              <w:t>类似业绩：</w:t>
            </w:r>
            <w:r>
              <w:rPr>
                <w:rFonts w:hint="eastAsia" w:ascii="Times New Roman" w:hAnsi="Times New Roman" w:cs="Times New Roman"/>
                <w:color w:val="auto"/>
                <w:kern w:val="0"/>
                <w:szCs w:val="21"/>
                <w:lang w:val="en-US" w:eastAsia="zh-CN"/>
              </w:rPr>
              <w:t>6</w:t>
            </w:r>
            <w:r>
              <w:rPr>
                <w:rFonts w:hint="eastAsia" w:ascii="Times New Roman" w:hAnsi="Times New Roman" w:eastAsia="宋体" w:cs="Times New Roman"/>
                <w:color w:val="auto"/>
                <w:kern w:val="0"/>
                <w:szCs w:val="21"/>
                <w:lang w:eastAsia="zh-CN"/>
              </w:rPr>
              <w:t>分（每份合同</w:t>
            </w:r>
            <w:r>
              <w:rPr>
                <w:rFonts w:hint="eastAsia" w:ascii="Times New Roman" w:hAnsi="Times New Roman" w:cs="Times New Roman"/>
                <w:color w:val="auto"/>
                <w:kern w:val="0"/>
                <w:szCs w:val="21"/>
                <w:lang w:val="en-US" w:eastAsia="zh-CN"/>
              </w:rPr>
              <w:t>2</w:t>
            </w:r>
            <w:r>
              <w:rPr>
                <w:rFonts w:hint="eastAsia" w:ascii="Times New Roman" w:hAnsi="Times New Roman" w:eastAsia="宋体" w:cs="Times New Roman"/>
                <w:color w:val="auto"/>
                <w:kern w:val="0"/>
                <w:szCs w:val="21"/>
                <w:lang w:eastAsia="zh-CN"/>
              </w:rPr>
              <w:t>分，封顶</w:t>
            </w:r>
            <w:r>
              <w:rPr>
                <w:rFonts w:hint="eastAsia" w:ascii="Times New Roman" w:hAnsi="Times New Roman" w:cs="Times New Roman"/>
                <w:color w:val="auto"/>
                <w:kern w:val="0"/>
                <w:szCs w:val="21"/>
                <w:lang w:val="en-US" w:eastAsia="zh-CN"/>
              </w:rPr>
              <w:t>6</w:t>
            </w:r>
            <w:r>
              <w:rPr>
                <w:rFonts w:hint="eastAsia" w:ascii="Times New Roman" w:hAnsi="Times New Roman" w:eastAsia="宋体" w:cs="Times New Roman"/>
                <w:color w:val="auto"/>
                <w:kern w:val="0"/>
                <w:szCs w:val="21"/>
                <w:lang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2.质保承诺：</w:t>
            </w:r>
            <w:r>
              <w:rPr>
                <w:rFonts w:hint="eastAsia" w:ascii="Times New Roman" w:hAnsi="Times New Roman" w:cs="Times New Roman"/>
                <w:color w:val="auto"/>
                <w:kern w:val="0"/>
                <w:szCs w:val="21"/>
                <w:lang w:val="en-US" w:eastAsia="zh-CN"/>
              </w:rPr>
              <w:t>4</w:t>
            </w:r>
            <w:r>
              <w:rPr>
                <w:rFonts w:hint="eastAsia" w:ascii="Times New Roman" w:hAnsi="Times New Roman" w:eastAsia="宋体" w:cs="Times New Roman"/>
                <w:color w:val="auto"/>
                <w:kern w:val="0"/>
                <w:szCs w:val="21"/>
                <w:lang w:eastAsia="zh-CN"/>
              </w:rPr>
              <w:t>分（</w:t>
            </w:r>
            <w:r>
              <w:rPr>
                <w:rFonts w:hint="eastAsia" w:ascii="Times New Roman" w:hAnsi="Times New Roman" w:eastAsia="宋体" w:cs="Times New Roman"/>
                <w:b/>
                <w:bCs/>
                <w:color w:val="auto"/>
                <w:kern w:val="0"/>
                <w:szCs w:val="21"/>
                <w:lang w:eastAsia="zh-CN"/>
              </w:rPr>
              <w:t>无质保期的将被否决</w:t>
            </w:r>
            <w:r>
              <w:rPr>
                <w:rFonts w:hint="eastAsia" w:ascii="Times New Roman" w:hAnsi="Times New Roman" w:eastAsia="宋体" w:cs="Times New Roman"/>
                <w:color w:val="auto"/>
                <w:kern w:val="0"/>
                <w:szCs w:val="21"/>
                <w:lang w:eastAsia="zh-CN"/>
              </w:rPr>
              <w:t>；1年0分，质保期最长的满分</w:t>
            </w:r>
            <w:r>
              <w:rPr>
                <w:rFonts w:hint="eastAsia" w:ascii="Times New Roman" w:hAnsi="Times New Roman" w:cs="Times New Roman"/>
                <w:color w:val="auto"/>
                <w:kern w:val="0"/>
                <w:szCs w:val="21"/>
                <w:lang w:val="en-US" w:eastAsia="zh-CN"/>
              </w:rPr>
              <w:t>4</w:t>
            </w:r>
            <w:r>
              <w:rPr>
                <w:rFonts w:hint="eastAsia" w:ascii="Times New Roman" w:hAnsi="Times New Roman" w:eastAsia="宋体" w:cs="Times New Roman"/>
                <w:color w:val="auto"/>
                <w:kern w:val="0"/>
                <w:szCs w:val="21"/>
                <w:lang w:eastAsia="zh-CN"/>
              </w:rPr>
              <w:t>分，其它的扣除一年后与最长的比例得分）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w:t>
      </w:r>
      <w:r>
        <w:rPr>
          <w:rFonts w:hint="eastAsia" w:ascii="Times New Roman" w:hAnsi="Times New Roman"/>
          <w:color w:val="auto"/>
          <w:sz w:val="24"/>
          <w:szCs w:val="24"/>
          <w:lang w:val="en-US" w:eastAsia="zh-CN"/>
        </w:rPr>
        <w:t>两</w:t>
      </w:r>
      <w:r>
        <w:rPr>
          <w:rFonts w:hint="eastAsia" w:ascii="Times New Roman" w:hAnsi="Times New Roman" w:eastAsia="宋体"/>
          <w:color w:val="auto"/>
          <w:sz w:val="24"/>
          <w:szCs w:val="24"/>
        </w:rPr>
        <w:t>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7</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31</w:t>
      </w:r>
      <w:r>
        <w:rPr>
          <w:rFonts w:ascii="Times New Roman" w:hAnsi="Times New Roman" w:eastAsia="宋体"/>
          <w:color w:val="auto"/>
          <w:sz w:val="24"/>
          <w:szCs w:val="24"/>
        </w:rPr>
        <w:t>日</w:t>
      </w:r>
      <w:r>
        <w:rPr>
          <w:rFonts w:hint="eastAsia" w:ascii="Times New Roman" w:hAnsi="Times New Roman"/>
          <w:color w:val="auto"/>
          <w:sz w:val="24"/>
          <w:szCs w:val="24"/>
          <w:lang w:val="en-US" w:eastAsia="zh-CN"/>
        </w:rPr>
        <w:t>下午3</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w:t>
      </w:r>
      <w:r>
        <w:rPr>
          <w:rFonts w:hint="eastAsia" w:ascii="Times New Roman" w:hAnsi="Times New Roman"/>
          <w:b w:val="0"/>
          <w:bCs/>
          <w:color w:val="auto"/>
          <w:sz w:val="24"/>
          <w:szCs w:val="24"/>
          <w:lang w:val="en-US" w:eastAsia="zh-CN"/>
        </w:rPr>
        <w:t>广东省惠州市闽环纸品</w:t>
      </w:r>
      <w:r>
        <w:rPr>
          <w:rFonts w:hint="eastAsia" w:ascii="Times New Roman" w:hAnsi="Times New Roman" w:eastAsia="宋体"/>
          <w:b w:val="0"/>
          <w:bCs/>
          <w:color w:val="auto"/>
          <w:sz w:val="24"/>
          <w:szCs w:val="24"/>
          <w:lang w:val="en-US" w:eastAsia="zh-CN"/>
        </w:rPr>
        <w:t>股份有限公司</w:t>
      </w:r>
      <w:r>
        <w:rPr>
          <w:rFonts w:hint="eastAsia" w:ascii="Times New Roman" w:hAnsi="Times New Roman"/>
          <w:color w:val="auto"/>
          <w:sz w:val="24"/>
          <w:szCs w:val="24"/>
          <w:lang w:val="en-US" w:eastAsia="zh-CN"/>
        </w:rPr>
        <w:t>2</w:t>
      </w:r>
      <w:r>
        <w:rPr>
          <w:rFonts w:ascii="Times New Roman" w:hAnsi="Times New Roman" w:eastAsia="宋体"/>
          <w:color w:val="auto"/>
          <w:sz w:val="24"/>
          <w:szCs w:val="24"/>
        </w:rPr>
        <w:t>楼会议室公开开标。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color w:val="auto"/>
          <w:sz w:val="24"/>
          <w:szCs w:val="24"/>
          <w:lang w:eastAsia="zh-CN"/>
        </w:rPr>
        <w:t>以下两种</w:t>
      </w:r>
      <w:r>
        <w:rPr>
          <w:rFonts w:hint="eastAsia" w:ascii="Times New Roman" w:hAnsi="Times New Roman" w:eastAsia="宋体"/>
          <w:color w:val="auto"/>
          <w:sz w:val="24"/>
          <w:szCs w:val="24"/>
        </w:rPr>
        <w:t>参与方式投标人可任选一种</w:t>
      </w:r>
      <w:r>
        <w:rPr>
          <w:rFonts w:hint="eastAsia" w:ascii="Times New Roman" w:hAnsi="Times New Roman"/>
          <w:color w:val="auto"/>
          <w:sz w:val="24"/>
          <w:szCs w:val="24"/>
          <w:lang w:eastAsia="zh-CN"/>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w:t>
      </w:r>
      <w:r>
        <w:rPr>
          <w:rFonts w:hint="eastAsia" w:ascii="Times New Roman" w:hAnsi="Times New Roman" w:eastAsia="宋体"/>
          <w:color w:val="auto"/>
          <w:sz w:val="24"/>
          <w:szCs w:val="24"/>
        </w:rPr>
        <w:t>参与现场投标的，投标人应于开标之前将投标文件送至</w:t>
      </w:r>
      <w:r>
        <w:rPr>
          <w:rFonts w:hint="eastAsia" w:ascii="Times New Roman" w:hAnsi="Times New Roman"/>
          <w:b w:val="0"/>
          <w:bCs/>
          <w:color w:val="auto"/>
          <w:sz w:val="24"/>
          <w:szCs w:val="24"/>
          <w:lang w:val="en-US" w:eastAsia="zh-CN"/>
        </w:rPr>
        <w:t>广东省惠州市闽环纸品</w:t>
      </w:r>
      <w:r>
        <w:rPr>
          <w:rFonts w:hint="eastAsia" w:ascii="Times New Roman" w:hAnsi="Times New Roman" w:eastAsia="宋体"/>
          <w:b w:val="0"/>
          <w:bCs/>
          <w:color w:val="auto"/>
          <w:sz w:val="24"/>
          <w:szCs w:val="24"/>
          <w:lang w:val="en-US" w:eastAsia="zh-CN"/>
        </w:rPr>
        <w:t>股份有限公司</w:t>
      </w:r>
      <w:r>
        <w:rPr>
          <w:rFonts w:hint="eastAsia" w:ascii="Times New Roman" w:hAnsi="Times New Roman"/>
          <w:color w:val="auto"/>
          <w:sz w:val="24"/>
          <w:szCs w:val="24"/>
          <w:lang w:val="en-US" w:eastAsia="zh-CN"/>
        </w:rPr>
        <w:t>2</w:t>
      </w:r>
      <w:r>
        <w:rPr>
          <w:rFonts w:ascii="Times New Roman" w:hAnsi="Times New Roman" w:eastAsia="宋体"/>
          <w:color w:val="auto"/>
          <w:sz w:val="24"/>
          <w:szCs w:val="24"/>
        </w:rPr>
        <w:t>楼会议室</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u w:val="none"/>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w:t>
      </w:r>
      <w:r>
        <w:rPr>
          <w:rFonts w:hint="eastAsia" w:ascii="Times New Roman" w:hAnsi="Times New Roman" w:eastAsia="宋体"/>
          <w:color w:val="auto"/>
          <w:sz w:val="24"/>
          <w:szCs w:val="24"/>
          <w:u w:val="none"/>
        </w:rPr>
        <w:t>（邮寄地址：</w:t>
      </w:r>
      <w:r>
        <w:rPr>
          <w:rFonts w:hint="eastAsia" w:ascii="Times New Roman" w:hAnsi="Times New Roman" w:eastAsia="宋体"/>
          <w:color w:val="auto"/>
          <w:sz w:val="24"/>
          <w:szCs w:val="24"/>
          <w:u w:val="none"/>
          <w:lang w:val="en-US" w:eastAsia="zh-CN"/>
        </w:rPr>
        <w:t>广东省</w:t>
      </w:r>
      <w:r>
        <w:rPr>
          <w:rFonts w:hint="eastAsia" w:ascii="Times New Roman" w:hAnsi="Times New Roman" w:eastAsia="宋体"/>
          <w:color w:val="auto"/>
          <w:sz w:val="24"/>
          <w:szCs w:val="24"/>
          <w:u w:val="none"/>
        </w:rPr>
        <w:t>惠州市惠阳区秋长街道新塘村天翼路108号，单位名称：</w:t>
      </w:r>
      <w:r>
        <w:rPr>
          <w:rFonts w:hint="eastAsia" w:ascii="Times New Roman" w:hAnsi="Times New Roman" w:eastAsia="宋体"/>
          <w:color w:val="auto"/>
          <w:sz w:val="24"/>
          <w:szCs w:val="24"/>
          <w:u w:val="none"/>
          <w:lang w:val="en-US" w:eastAsia="zh-CN"/>
        </w:rPr>
        <w:t>广东省惠州市闽环纸品股份有限公司</w:t>
      </w:r>
      <w:r>
        <w:rPr>
          <w:rFonts w:hint="eastAsia" w:ascii="Times New Roman" w:hAnsi="Times New Roman" w:eastAsia="宋体"/>
          <w:color w:val="auto"/>
          <w:sz w:val="24"/>
          <w:szCs w:val="24"/>
          <w:u w:val="none"/>
        </w:rPr>
        <w:t>，收件人：</w:t>
      </w:r>
      <w:r>
        <w:rPr>
          <w:rFonts w:hint="eastAsia" w:ascii="Times New Roman" w:hAnsi="Times New Roman" w:eastAsia="宋体"/>
          <w:color w:val="auto"/>
          <w:sz w:val="24"/>
          <w:szCs w:val="24"/>
          <w:u w:val="none"/>
          <w:lang w:val="en-US" w:eastAsia="zh-CN"/>
        </w:rPr>
        <w:t>黄元煜</w:t>
      </w:r>
      <w:r>
        <w:rPr>
          <w:rFonts w:hint="eastAsia" w:ascii="Times New Roman" w:hAnsi="Times New Roman" w:eastAsia="宋体"/>
          <w:color w:val="auto"/>
          <w:sz w:val="24"/>
          <w:szCs w:val="24"/>
          <w:u w:val="none"/>
        </w:rPr>
        <w:t>，联系电话：</w:t>
      </w:r>
      <w:r>
        <w:rPr>
          <w:rFonts w:hint="eastAsia" w:ascii="Times New Roman" w:hAnsi="Times New Roman" w:eastAsia="宋体"/>
          <w:color w:val="auto"/>
          <w:sz w:val="24"/>
          <w:szCs w:val="24"/>
          <w:u w:val="none"/>
          <w:lang w:val="en-US" w:eastAsia="zh-CN"/>
        </w:rPr>
        <w:t>13507569269</w:t>
      </w:r>
      <w:r>
        <w:rPr>
          <w:rFonts w:hint="eastAsia" w:ascii="Times New Roman" w:hAnsi="Times New Roman"/>
          <w:color w:val="auto"/>
          <w:sz w:val="24"/>
          <w:szCs w:val="24"/>
          <w:u w:val="none"/>
          <w:lang w:eastAsia="zh-CN"/>
        </w:rPr>
        <w:t>，</w:t>
      </w:r>
      <w:r>
        <w:rPr>
          <w:rFonts w:hint="eastAsia" w:ascii="Times New Roman" w:hAnsi="Times New Roman" w:eastAsia="宋体"/>
          <w:color w:val="auto"/>
          <w:sz w:val="24"/>
          <w:szCs w:val="24"/>
          <w:u w:val="none"/>
        </w:rPr>
        <w:t>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color w:val="auto"/>
          <w:sz w:val="24"/>
          <w:szCs w:val="24"/>
          <w:lang w:val="en-US" w:eastAsia="zh-CN"/>
        </w:rPr>
        <w:t>壹万</w:t>
      </w:r>
      <w:r>
        <w:rPr>
          <w:rFonts w:ascii="Times New Roman" w:hAnsi="Times New Roman" w:eastAsia="宋体"/>
          <w:color w:val="auto"/>
          <w:sz w:val="24"/>
          <w:szCs w:val="24"/>
        </w:rPr>
        <w:t>元</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10000元</w:t>
      </w:r>
      <w:r>
        <w:rPr>
          <w:rFonts w:hint="eastAsia" w:ascii="Times New Roman" w:hAnsi="Times New Roman"/>
          <w:color w:val="auto"/>
          <w:sz w:val="24"/>
          <w:szCs w:val="24"/>
          <w:lang w:eastAsia="zh-CN"/>
        </w:rPr>
        <w:t>）</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w:t>
      </w:r>
      <w:r>
        <w:rPr>
          <w:rFonts w:hint="eastAsia" w:ascii="Times New Roman" w:hAnsi="Times New Roman" w:eastAsia="宋体"/>
          <w:color w:val="auto"/>
          <w:sz w:val="24"/>
          <w:szCs w:val="24"/>
        </w:rPr>
        <w:t>银行电汇；（开户银行：</w:t>
      </w:r>
      <w:r>
        <w:rPr>
          <w:rFonts w:hint="eastAsia" w:ascii="Times New Roman" w:hAnsi="Times New Roman" w:eastAsia="宋体"/>
          <w:color w:val="auto"/>
          <w:sz w:val="24"/>
          <w:szCs w:val="24"/>
          <w:lang w:val="en-US" w:eastAsia="zh-CN"/>
        </w:rPr>
        <w:t>中国</w:t>
      </w:r>
      <w:r>
        <w:rPr>
          <w:rFonts w:hint="eastAsia" w:ascii="Times New Roman" w:hAnsi="Times New Roman" w:eastAsia="宋体"/>
          <w:color w:val="auto"/>
          <w:sz w:val="24"/>
          <w:szCs w:val="24"/>
        </w:rPr>
        <w:t>工商银行</w:t>
      </w:r>
      <w:r>
        <w:rPr>
          <w:rFonts w:hint="eastAsia" w:ascii="Times New Roman" w:hAnsi="Times New Roman" w:eastAsia="宋体"/>
          <w:color w:val="auto"/>
          <w:sz w:val="24"/>
          <w:szCs w:val="24"/>
          <w:lang w:val="en-US" w:eastAsia="zh-CN"/>
        </w:rPr>
        <w:t>广州从化鳌头</w:t>
      </w:r>
      <w:r>
        <w:rPr>
          <w:rFonts w:hint="eastAsia" w:ascii="Times New Roman" w:hAnsi="Times New Roman" w:eastAsia="宋体"/>
          <w:color w:val="auto"/>
          <w:sz w:val="24"/>
          <w:szCs w:val="24"/>
        </w:rPr>
        <w:t>支行、账户名：</w:t>
      </w:r>
      <w:r>
        <w:rPr>
          <w:rFonts w:hint="eastAsia" w:ascii="Times New Roman" w:hAnsi="Times New Roman" w:eastAsia="宋体"/>
          <w:color w:val="auto"/>
          <w:sz w:val="24"/>
          <w:szCs w:val="24"/>
          <w:lang w:val="en-US" w:eastAsia="zh-CN"/>
        </w:rPr>
        <w:t>广州青纸包装材料有限公司</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账号：</w:t>
      </w:r>
      <w:r>
        <w:rPr>
          <w:rFonts w:hint="eastAsia" w:ascii="Times New Roman" w:hAnsi="Times New Roman" w:eastAsia="宋体"/>
          <w:color w:val="auto"/>
          <w:sz w:val="24"/>
          <w:szCs w:val="24"/>
          <w:lang w:val="en-US" w:eastAsia="zh-CN"/>
        </w:rPr>
        <w:t>91440101MA5D0RR700</w:t>
      </w:r>
      <w:r>
        <w:rPr>
          <w:rFonts w:hint="eastAsia" w:ascii="Times New Roman" w:hAnsi="Times New Roman" w:eastAsia="宋体"/>
          <w:color w:val="auto"/>
          <w:sz w:val="24"/>
          <w:szCs w:val="24"/>
        </w:rPr>
        <w:t>。公对公转账，汇款人须注明参与的招标编号）。银行电汇回单单独密封装订。</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.5中标的投标人的投标保证金，将在中标人签订合同时转为履约保证金，合同按时履行完毕后予以原额退还。</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w:t>
      </w:r>
      <w:r>
        <w:rPr>
          <w:rFonts w:hint="eastAsia" w:ascii="Times New Roman" w:hAnsi="Times New Roman" w:eastAsia="宋体"/>
          <w:color w:val="auto"/>
          <w:sz w:val="24"/>
          <w:szCs w:val="24"/>
          <w:lang w:eastAsia="zh-CN"/>
        </w:rPr>
        <w:t>其他</w:t>
      </w:r>
      <w:r>
        <w:rPr>
          <w:rFonts w:hint="eastAsia" w:ascii="Times New Roman" w:hAnsi="Times New Roman" w:eastAsia="宋体"/>
          <w:color w:val="auto"/>
          <w:sz w:val="24"/>
          <w:szCs w:val="24"/>
        </w:rPr>
        <w:t>证明</w:t>
      </w:r>
      <w:r>
        <w:rPr>
          <w:rFonts w:hint="eastAsia" w:ascii="Times New Roman" w:hAnsi="Times New Roman" w:eastAsia="宋体"/>
          <w:color w:val="auto"/>
          <w:sz w:val="24"/>
          <w:szCs w:val="24"/>
          <w:lang w:eastAsia="zh-CN"/>
        </w:rPr>
        <w:t>材</w:t>
      </w:r>
      <w:r>
        <w:rPr>
          <w:rFonts w:hint="eastAsia" w:ascii="Times New Roman" w:hAnsi="Times New Roman" w:eastAsia="宋体"/>
          <w:color w:val="auto"/>
          <w:sz w:val="24"/>
          <w:szCs w:val="24"/>
        </w:rPr>
        <w:t>料</w:t>
      </w:r>
      <w:r>
        <w:rPr>
          <w:rFonts w:hint="eastAsia" w:ascii="Times New Roman" w:hAnsi="Times New Roman" w:eastAsia="宋体"/>
          <w:color w:val="auto"/>
          <w:sz w:val="24"/>
          <w:szCs w:val="24"/>
          <w:lang w:eastAsia="zh-CN"/>
        </w:rPr>
        <w:t>（高处作业证复印件、</w:t>
      </w:r>
      <w:r>
        <w:rPr>
          <w:rFonts w:hint="eastAsia" w:ascii="Times New Roman" w:hAnsi="Times New Roman"/>
          <w:color w:val="auto"/>
          <w:sz w:val="24"/>
          <w:szCs w:val="24"/>
          <w:lang w:val="en-US" w:eastAsia="zh-CN"/>
        </w:rPr>
        <w:t>起重机械安装许可证复印件</w:t>
      </w:r>
      <w:bookmarkStart w:id="0" w:name="_GoBack"/>
      <w:bookmarkEnd w:id="0"/>
      <w:r>
        <w:rPr>
          <w:rFonts w:hint="eastAsia" w:ascii="Times New Roman" w:hAnsi="Times New Roman" w:eastAsia="宋体"/>
          <w:color w:val="auto"/>
          <w:sz w:val="24"/>
          <w:szCs w:val="24"/>
          <w:lang w:eastAsia="zh-CN"/>
        </w:rPr>
        <w:t>等）</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d</w:t>
      </w:r>
      <w:r>
        <w:rPr>
          <w:rFonts w:ascii="Times New Roman" w:hAnsi="Times New Roman" w:eastAsia="宋体"/>
          <w:color w:val="auto"/>
          <w:sz w:val="24"/>
          <w:szCs w:val="24"/>
        </w:rPr>
        <w:t>.</w:t>
      </w:r>
      <w:r>
        <w:rPr>
          <w:rFonts w:hint="eastAsia" w:ascii="Times New Roman" w:hAnsi="Times New Roman" w:eastAsia="宋体"/>
          <w:color w:val="auto"/>
          <w:sz w:val="24"/>
          <w:szCs w:val="24"/>
          <w:lang w:eastAsia="zh-CN"/>
        </w:rPr>
        <w:t>投标人认为需要提供</w:t>
      </w:r>
      <w:r>
        <w:rPr>
          <w:rFonts w:ascii="Times New Roman" w:hAnsi="Times New Roman" w:eastAsia="宋体"/>
          <w:color w:val="auto"/>
          <w:sz w:val="24"/>
          <w:szCs w:val="24"/>
        </w:rPr>
        <w:t>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施工方案</w:t>
      </w:r>
      <w:r>
        <w:rPr>
          <w:rFonts w:hint="eastAsia" w:ascii="Times New Roman" w:hAnsi="Times New Roman" w:eastAsia="宋体"/>
          <w:color w:val="auto"/>
          <w:sz w:val="24"/>
          <w:szCs w:val="24"/>
          <w:lang w:val="en-US" w:eastAsia="zh-CN"/>
        </w:rPr>
        <w:t>；b.</w:t>
      </w:r>
      <w:r>
        <w:rPr>
          <w:rFonts w:hint="eastAsia" w:ascii="Times New Roman" w:hAnsi="Times New Roman" w:eastAsia="宋体"/>
          <w:color w:val="auto"/>
          <w:sz w:val="24"/>
          <w:szCs w:val="24"/>
          <w:lang w:eastAsia="zh-CN"/>
        </w:rPr>
        <w:t>第</w:t>
      </w:r>
      <w:r>
        <w:rPr>
          <w:rFonts w:hint="eastAsia" w:ascii="Times New Roman" w:hAnsi="Times New Roman" w:eastAsia="宋体"/>
          <w:color w:val="auto"/>
          <w:sz w:val="24"/>
          <w:szCs w:val="24"/>
          <w:lang w:val="en-US" w:eastAsia="zh-CN"/>
        </w:rPr>
        <w:t>10.3条</w:t>
      </w:r>
      <w:r>
        <w:rPr>
          <w:rFonts w:hint="eastAsia" w:ascii="Times New Roman" w:hAnsi="Times New Roman" w:eastAsia="宋体"/>
          <w:color w:val="auto"/>
          <w:sz w:val="24"/>
          <w:szCs w:val="24"/>
          <w:lang w:eastAsia="zh-CN"/>
        </w:rPr>
        <w:t>技术评审中第</w:t>
      </w:r>
      <w:r>
        <w:rPr>
          <w:rFonts w:hint="eastAsia" w:ascii="Times New Roman" w:hAnsi="Times New Roman" w:eastAsia="宋体"/>
          <w:color w:val="auto"/>
          <w:sz w:val="24"/>
          <w:szCs w:val="24"/>
          <w:lang w:val="en-US" w:eastAsia="zh-CN"/>
        </w:rPr>
        <w:t>1、2、3小点评分</w:t>
      </w:r>
      <w:r>
        <w:rPr>
          <w:rFonts w:hint="eastAsia" w:ascii="Times New Roman" w:hAnsi="Times New Roman" w:eastAsia="宋体"/>
          <w:color w:val="auto"/>
          <w:sz w:val="24"/>
          <w:szCs w:val="24"/>
          <w:lang w:eastAsia="zh-CN"/>
        </w:rPr>
        <w:t>项所对应的其他响应材料</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w:t>
      </w:r>
      <w:r>
        <w:rPr>
          <w:rFonts w:hint="eastAsia" w:ascii="Times New Roman" w:hAnsi="Times New Roman" w:eastAsia="宋体"/>
          <w:color w:val="auto"/>
          <w:sz w:val="24"/>
          <w:szCs w:val="24"/>
          <w:lang w:val="en-US" w:eastAsia="zh-CN"/>
        </w:rPr>
        <w:t>d</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e</w:t>
      </w:r>
      <w:r>
        <w:rPr>
          <w:rFonts w:hint="eastAsia" w:ascii="Times New Roman" w:hAnsi="Times New Roman" w:eastAsia="宋体"/>
          <w:color w:val="auto"/>
          <w:sz w:val="24"/>
          <w:szCs w:val="24"/>
        </w:rPr>
        <w:t>.</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f</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1</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除商务文件外，其他任何地方不得出现相关投标报价的任何内容。</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14.评标小组：评标小组由</w:t>
      </w:r>
      <w:r>
        <w:rPr>
          <w:rFonts w:hint="eastAsia" w:ascii="Times New Roman" w:hAnsi="Times New Roman" w:eastAsia="宋体"/>
          <w:color w:val="auto"/>
          <w:sz w:val="24"/>
          <w:szCs w:val="24"/>
          <w:lang w:val="en-US" w:eastAsia="zh-CN"/>
        </w:rPr>
        <w:t>广州青纸包装材料有限公司和惠州市闽环纸品股份有限公司</w:t>
      </w:r>
      <w:r>
        <w:rPr>
          <w:rFonts w:hint="eastAsia" w:ascii="Times New Roman" w:hAnsi="Times New Roman" w:eastAsia="宋体"/>
          <w:color w:val="auto"/>
          <w:sz w:val="24"/>
          <w:szCs w:val="24"/>
          <w:lang w:eastAsia="zh-CN"/>
        </w:rPr>
        <w:t>有关</w:t>
      </w:r>
      <w:r>
        <w:rPr>
          <w:rFonts w:hint="eastAsia" w:ascii="Times New Roman" w:hAnsi="Times New Roman" w:eastAsia="宋体"/>
          <w:color w:val="auto"/>
          <w:sz w:val="24"/>
          <w:szCs w:val="24"/>
        </w:rPr>
        <w:t>部门人员组成。</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15.发布招标公告及结果公示媒体：福建省青山纸业股份有限公司</w:t>
      </w:r>
      <w:r>
        <w:rPr>
          <w:rFonts w:hint="eastAsia" w:ascii="Times New Roman" w:hAnsi="Times New Roman" w:eastAsia="宋体"/>
          <w:color w:val="auto"/>
          <w:sz w:val="24"/>
          <w:szCs w:val="24"/>
        </w:rPr>
        <w:fldChar w:fldCharType="begin"/>
      </w:r>
      <w:r>
        <w:rPr>
          <w:rFonts w:hint="eastAsia" w:ascii="Times New Roman" w:hAnsi="Times New Roman" w:eastAsia="宋体"/>
          <w:color w:val="auto"/>
          <w:sz w:val="24"/>
          <w:szCs w:val="24"/>
        </w:rPr>
        <w:instrText xml:space="preserve"> HYPERLINK "http://www.qingshanpaper.com/" </w:instrText>
      </w:r>
      <w:r>
        <w:rPr>
          <w:rFonts w:hint="eastAsia" w:ascii="Times New Roman" w:hAnsi="Times New Roman" w:eastAsia="宋体"/>
          <w:color w:val="auto"/>
          <w:sz w:val="24"/>
          <w:szCs w:val="24"/>
        </w:rPr>
        <w:fldChar w:fldCharType="separate"/>
      </w:r>
      <w:r>
        <w:rPr>
          <w:rFonts w:hint="eastAsia" w:ascii="Times New Roman" w:hAnsi="Times New Roman" w:eastAsia="宋体"/>
          <w:color w:val="auto"/>
          <w:sz w:val="24"/>
          <w:szCs w:val="24"/>
        </w:rPr>
        <w:t>www.qingshanpaper.com</w:t>
      </w:r>
      <w:r>
        <w:rPr>
          <w:rFonts w:hint="eastAsia" w:ascii="Times New Roman" w:hAnsi="Times New Roman" w:eastAsia="宋体"/>
          <w:color w:val="auto"/>
          <w:sz w:val="24"/>
          <w:szCs w:val="24"/>
        </w:rPr>
        <w:fldChar w:fldCharType="end"/>
      </w:r>
      <w:r>
        <w:rPr>
          <w:rFonts w:hint="eastAsia" w:ascii="Times New Roman" w:hAnsi="Times New Roman" w:eastAsia="宋体"/>
          <w:color w:val="auto"/>
          <w:sz w:val="24"/>
          <w:szCs w:val="24"/>
        </w:rPr>
        <w:t>、福建省轻纺</w:t>
      </w:r>
      <w:r>
        <w:rPr>
          <w:rFonts w:hint="eastAsia" w:ascii="Times New Roman" w:hAnsi="Times New Roman"/>
          <w:color w:val="auto"/>
          <w:sz w:val="24"/>
          <w:szCs w:val="24"/>
          <w:lang w:eastAsia="zh-CN"/>
        </w:rPr>
        <w:t>（</w:t>
      </w:r>
      <w:r>
        <w:rPr>
          <w:rFonts w:hint="eastAsia" w:ascii="Times New Roman" w:hAnsi="Times New Roman" w:eastAsia="宋体"/>
          <w:color w:val="auto"/>
          <w:sz w:val="24"/>
          <w:szCs w:val="24"/>
        </w:rPr>
        <w:t>控股</w:t>
      </w:r>
      <w:r>
        <w:rPr>
          <w:rFonts w:hint="eastAsia" w:ascii="Times New Roman" w:hAnsi="Times New Roman"/>
          <w:color w:val="auto"/>
          <w:sz w:val="24"/>
          <w:szCs w:val="24"/>
          <w:lang w:eastAsia="zh-CN"/>
        </w:rPr>
        <w:t>）</w:t>
      </w:r>
      <w:r>
        <w:rPr>
          <w:rFonts w:hint="eastAsia" w:ascii="Times New Roman" w:hAnsi="Times New Roman" w:eastAsia="宋体"/>
          <w:color w:val="auto"/>
          <w:sz w:val="24"/>
          <w:szCs w:val="24"/>
        </w:rPr>
        <w:t>有限责任公司</w:t>
      </w:r>
      <w:r>
        <w:rPr>
          <w:rFonts w:hint="eastAsia" w:ascii="Times New Roman" w:hAnsi="Times New Roman" w:eastAsia="宋体"/>
          <w:color w:val="auto"/>
          <w:sz w:val="24"/>
          <w:szCs w:val="24"/>
        </w:rPr>
        <w:fldChar w:fldCharType="begin"/>
      </w:r>
      <w:r>
        <w:rPr>
          <w:rFonts w:hint="eastAsia" w:ascii="Times New Roman" w:hAnsi="Times New Roman" w:eastAsia="宋体"/>
          <w:color w:val="auto"/>
          <w:sz w:val="24"/>
          <w:szCs w:val="24"/>
        </w:rPr>
        <w:instrText xml:space="preserve"> HYPERLINK "http://www.fjqfkg.com/" </w:instrText>
      </w:r>
      <w:r>
        <w:rPr>
          <w:rFonts w:hint="eastAsia" w:ascii="Times New Roman" w:hAnsi="Times New Roman" w:eastAsia="宋体"/>
          <w:color w:val="auto"/>
          <w:sz w:val="24"/>
          <w:szCs w:val="24"/>
        </w:rPr>
        <w:fldChar w:fldCharType="separate"/>
      </w:r>
      <w:r>
        <w:rPr>
          <w:rFonts w:hint="eastAsia" w:ascii="Times New Roman" w:hAnsi="Times New Roman" w:eastAsia="宋体"/>
          <w:color w:val="auto"/>
          <w:sz w:val="24"/>
          <w:szCs w:val="24"/>
        </w:rPr>
        <w:t>www.fjqfkg.com</w:t>
      </w:r>
      <w:r>
        <w:rPr>
          <w:rFonts w:hint="eastAsia" w:ascii="Times New Roman" w:hAnsi="Times New Roman" w:eastAsia="宋体"/>
          <w:color w:val="auto"/>
          <w:sz w:val="24"/>
          <w:szCs w:val="24"/>
        </w:rPr>
        <w:fldChar w:fldCharType="end"/>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color w:val="auto"/>
          <w:sz w:val="24"/>
          <w:szCs w:val="24"/>
          <w:lang w:eastAsia="zh-CN"/>
        </w:rPr>
      </w:pPr>
      <w:r>
        <w:rPr>
          <w:rFonts w:hint="eastAsia" w:ascii="Times New Roman" w:hAnsi="Times New Roman" w:eastAsia="宋体"/>
          <w:color w:val="auto"/>
          <w:sz w:val="24"/>
          <w:szCs w:val="24"/>
        </w:rPr>
        <w:t>16.联系方式</w:t>
      </w:r>
      <w:r>
        <w:rPr>
          <w:rFonts w:hint="eastAsia" w:ascii="Times New Roman" w:hAnsi="Times New Roman"/>
          <w:color w:val="auto"/>
          <w:sz w:val="24"/>
          <w:szCs w:val="24"/>
          <w:lang w:eastAsia="zh-CN"/>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color w:val="auto"/>
          <w:sz w:val="24"/>
          <w:szCs w:val="24"/>
          <w:lang w:val="en-US" w:eastAsia="zh-CN"/>
        </w:rPr>
      </w:pPr>
      <w:r>
        <w:rPr>
          <w:rFonts w:hint="eastAsia" w:ascii="Times New Roman" w:hAnsi="Times New Roman" w:eastAsia="宋体"/>
          <w:color w:val="auto"/>
          <w:sz w:val="24"/>
          <w:szCs w:val="24"/>
        </w:rPr>
        <w:t>技术联系人：</w:t>
      </w:r>
      <w:r>
        <w:rPr>
          <w:rFonts w:hint="eastAsia" w:ascii="Times New Roman" w:hAnsi="Times New Roman" w:eastAsia="宋体"/>
          <w:color w:val="auto"/>
          <w:sz w:val="24"/>
          <w:szCs w:val="24"/>
          <w:lang w:val="en-US" w:eastAsia="zh-CN"/>
        </w:rPr>
        <w:t>付正发</w:t>
      </w:r>
      <w:r>
        <w:rPr>
          <w:rFonts w:hint="eastAsia" w:ascii="Times New Roman" w:hAnsi="Times New Roman" w:eastAsia="宋体"/>
          <w:color w:val="auto"/>
          <w:sz w:val="24"/>
          <w:szCs w:val="24"/>
        </w:rPr>
        <w:t>138</w:t>
      </w:r>
      <w:r>
        <w:rPr>
          <w:rFonts w:hint="eastAsia" w:ascii="Times New Roman" w:hAnsi="Times New Roman" w:eastAsia="宋体"/>
          <w:color w:val="auto"/>
          <w:sz w:val="24"/>
          <w:szCs w:val="24"/>
          <w:lang w:val="en-US" w:eastAsia="zh-CN"/>
        </w:rPr>
        <w:t>60509117</w:t>
      </w:r>
      <w:r>
        <w:rPr>
          <w:rFonts w:hint="eastAsia" w:ascii="Times New Roman" w:hAnsi="Times New Roman"/>
          <w:color w:val="auto"/>
          <w:sz w:val="24"/>
          <w:szCs w:val="24"/>
          <w:lang w:val="en-US" w:eastAsia="zh-CN"/>
        </w:rPr>
        <w:t>；</w:t>
      </w:r>
      <w:r>
        <w:rPr>
          <w:rFonts w:hint="eastAsia" w:ascii="Times New Roman" w:hAnsi="Times New Roman" w:eastAsia="宋体"/>
          <w:color w:val="auto"/>
          <w:sz w:val="24"/>
          <w:szCs w:val="24"/>
        </w:rPr>
        <w:t>商务联系人：</w:t>
      </w:r>
      <w:r>
        <w:rPr>
          <w:rFonts w:hint="eastAsia" w:ascii="Times New Roman" w:hAnsi="Times New Roman" w:eastAsia="宋体"/>
          <w:color w:val="auto"/>
          <w:sz w:val="24"/>
          <w:szCs w:val="24"/>
          <w:lang w:val="en-US" w:eastAsia="zh-CN"/>
        </w:rPr>
        <w:t>黄元煜13507569269</w:t>
      </w:r>
      <w:r>
        <w:rPr>
          <w:rFonts w:hint="eastAsia" w:ascii="Times New Roman" w:hAnsi="Times New Roman"/>
          <w:color w:val="auto"/>
          <w:sz w:val="24"/>
          <w:szCs w:val="24"/>
          <w:lang w:val="en-US" w:eastAsia="zh-CN"/>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color w:val="auto"/>
          <w:sz w:val="24"/>
          <w:szCs w:val="24"/>
          <w:lang w:eastAsia="zh-CN"/>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  </w:t>
      </w:r>
    </w:p>
    <w:p>
      <w:pPr>
        <w:keepNext w:val="0"/>
        <w:keepLines w:val="0"/>
        <w:pageBreakBefore w:val="0"/>
        <w:widowControl w:val="0"/>
        <w:kinsoku/>
        <w:overflowPunct/>
        <w:topLinePunct w:val="0"/>
        <w:autoSpaceDE/>
        <w:autoSpaceDN/>
        <w:bidi w:val="0"/>
        <w:adjustRightInd/>
        <w:snapToGrid/>
        <w:spacing w:line="420" w:lineRule="exact"/>
        <w:ind w:firstLine="5280" w:firstLineChars="2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广州青纸包装材料有限公司</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20" w:lineRule="exact"/>
        <w:ind w:firstLine="5760" w:firstLineChars="2400"/>
        <w:textAlignment w:val="auto"/>
        <w:rPr>
          <w:rFonts w:hint="eastAsia" w:ascii="Times New Roman" w:hAnsi="Times New Roman" w:eastAsia="宋体" w:cs="Times New Roman"/>
          <w:bCs/>
          <w:color w:val="auto"/>
          <w:sz w:val="24"/>
          <w:szCs w:val="24"/>
        </w:rPr>
      </w:pPr>
      <w:r>
        <w:rPr>
          <w:rFonts w:hint="eastAsia" w:ascii="Times New Roman" w:hAnsi="Times New Roman" w:eastAsia="宋体"/>
          <w:color w:val="auto"/>
          <w:sz w:val="24"/>
          <w:szCs w:val="24"/>
          <w:lang w:eastAsia="zh-CN"/>
        </w:rPr>
        <w:t>202</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年</w:t>
      </w:r>
      <w:r>
        <w:rPr>
          <w:rFonts w:hint="eastAsia" w:ascii="Times New Roman" w:hAnsi="Times New Roman" w:eastAsia="宋体"/>
          <w:color w:val="auto"/>
          <w:sz w:val="24"/>
          <w:szCs w:val="24"/>
          <w:lang w:val="en-US" w:eastAsia="zh-CN"/>
        </w:rPr>
        <w:t>7</w:t>
      </w:r>
      <w:r>
        <w:rPr>
          <w:rFonts w:hint="eastAsia" w:ascii="Times New Roman" w:hAnsi="Times New Roman" w:eastAsia="宋体"/>
          <w:color w:val="auto"/>
          <w:sz w:val="24"/>
          <w:szCs w:val="24"/>
          <w:lang w:eastAsia="zh-CN"/>
        </w:rPr>
        <w:t>月</w:t>
      </w:r>
      <w:r>
        <w:rPr>
          <w:rFonts w:hint="eastAsia" w:ascii="Times New Roman" w:hAnsi="Times New Roman"/>
          <w:color w:val="auto"/>
          <w:sz w:val="24"/>
          <w:szCs w:val="24"/>
          <w:lang w:val="en-US" w:eastAsia="zh-CN"/>
        </w:rPr>
        <w:t>18</w:t>
      </w:r>
      <w:r>
        <w:rPr>
          <w:rFonts w:hint="eastAsia" w:ascii="Times New Roman" w:hAnsi="Times New Roman" w:eastAsia="宋体"/>
          <w:color w:val="auto"/>
          <w:sz w:val="24"/>
          <w:szCs w:val="24"/>
          <w:lang w:eastAsia="zh-CN"/>
        </w:rPr>
        <w:t>日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1</w:t>
      </w:r>
      <w:r>
        <w:rPr>
          <w:rFonts w:hint="eastAsia" w:ascii="Times New Roman" w:hAnsi="Times New Roman" w:eastAsia="宋体" w:cs="Times New Roman"/>
          <w:bCs/>
          <w:color w:val="auto"/>
          <w:sz w:val="24"/>
          <w:szCs w:val="24"/>
        </w:rPr>
        <w:t>：法定代表人授权书（格式）</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20" w:lineRule="exact"/>
        <w:jc w:val="center"/>
        <w:textAlignment w:val="auto"/>
        <w:outlineLvl w:val="9"/>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sz w:val="28"/>
          <w:szCs w:val="28"/>
          <w:lang w:eastAsia="zh-CN"/>
        </w:rPr>
      </w:pPr>
    </w:p>
    <w:sectPr>
      <w:headerReference r:id="rId3" w:type="default"/>
      <w:footerReference r:id="rId4" w:type="default"/>
      <w:pgSz w:w="11906" w:h="16838"/>
      <w:pgMar w:top="781" w:right="1440" w:bottom="717"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5926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5926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kqMgHt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751" w:firstLineChars="1310"/>
      <w:jc w:val="left"/>
      <w:textAlignment w:val="auto"/>
      <w:outlineLvl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1F1402"/>
    <w:multiLevelType w:val="singleLevel"/>
    <w:tmpl w:val="281F1402"/>
    <w:lvl w:ilvl="0" w:tentative="0">
      <w:start w:val="1"/>
      <w:numFmt w:val="decimal"/>
      <w:suff w:val="nothing"/>
      <w:lvlText w:val="（%1）"/>
      <w:lvlJc w:val="left"/>
    </w:lvl>
  </w:abstractNum>
  <w:abstractNum w:abstractNumId="1">
    <w:nsid w:val="362BFB86"/>
    <w:multiLevelType w:val="singleLevel"/>
    <w:tmpl w:val="362BFB86"/>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0YTRlNTkwYjU5MzkwNmMzYTgzOTRmMjBjM2NlZGQifQ=="/>
  </w:docVars>
  <w:rsids>
    <w:rsidRoot w:val="00000000"/>
    <w:rsid w:val="02335D77"/>
    <w:rsid w:val="052B4F28"/>
    <w:rsid w:val="05695BD0"/>
    <w:rsid w:val="06DE03E2"/>
    <w:rsid w:val="072246FF"/>
    <w:rsid w:val="09997EE7"/>
    <w:rsid w:val="09F86387"/>
    <w:rsid w:val="0AF65C4C"/>
    <w:rsid w:val="0C992A98"/>
    <w:rsid w:val="0D015163"/>
    <w:rsid w:val="0D592C37"/>
    <w:rsid w:val="0D5F3512"/>
    <w:rsid w:val="0E8B2E75"/>
    <w:rsid w:val="0FE204E2"/>
    <w:rsid w:val="0FFE7134"/>
    <w:rsid w:val="115D1224"/>
    <w:rsid w:val="12106220"/>
    <w:rsid w:val="12BF4032"/>
    <w:rsid w:val="12DC1146"/>
    <w:rsid w:val="17E62151"/>
    <w:rsid w:val="19CF43E9"/>
    <w:rsid w:val="19D304ED"/>
    <w:rsid w:val="1C857027"/>
    <w:rsid w:val="1D1A1A49"/>
    <w:rsid w:val="1D8540CF"/>
    <w:rsid w:val="1F4571E7"/>
    <w:rsid w:val="1FDC0B0B"/>
    <w:rsid w:val="1FF477CC"/>
    <w:rsid w:val="20287CB8"/>
    <w:rsid w:val="216E6218"/>
    <w:rsid w:val="21C8702F"/>
    <w:rsid w:val="23FF2BFE"/>
    <w:rsid w:val="24C550DC"/>
    <w:rsid w:val="24CA313E"/>
    <w:rsid w:val="26A9561F"/>
    <w:rsid w:val="2BC45956"/>
    <w:rsid w:val="2C525A9B"/>
    <w:rsid w:val="2D6E3876"/>
    <w:rsid w:val="2D91433C"/>
    <w:rsid w:val="2EA81856"/>
    <w:rsid w:val="301B3B01"/>
    <w:rsid w:val="310904D1"/>
    <w:rsid w:val="315644D0"/>
    <w:rsid w:val="31BD57A7"/>
    <w:rsid w:val="33DD320D"/>
    <w:rsid w:val="33F87B1A"/>
    <w:rsid w:val="35606AE4"/>
    <w:rsid w:val="35E5575B"/>
    <w:rsid w:val="37321D6A"/>
    <w:rsid w:val="39E9615C"/>
    <w:rsid w:val="3C5513A3"/>
    <w:rsid w:val="3C7C5725"/>
    <w:rsid w:val="3D9A2B8C"/>
    <w:rsid w:val="3E4F62F6"/>
    <w:rsid w:val="3E832FBD"/>
    <w:rsid w:val="3EF50209"/>
    <w:rsid w:val="3F550899"/>
    <w:rsid w:val="3F731E14"/>
    <w:rsid w:val="40AA422C"/>
    <w:rsid w:val="45AD2346"/>
    <w:rsid w:val="47BB01F2"/>
    <w:rsid w:val="48571F9B"/>
    <w:rsid w:val="485A1FE6"/>
    <w:rsid w:val="494848CE"/>
    <w:rsid w:val="4A6510A4"/>
    <w:rsid w:val="4ACF470A"/>
    <w:rsid w:val="510D00AA"/>
    <w:rsid w:val="54160A91"/>
    <w:rsid w:val="574E15B7"/>
    <w:rsid w:val="5CD225A4"/>
    <w:rsid w:val="5D403E43"/>
    <w:rsid w:val="5DAE499A"/>
    <w:rsid w:val="5F194A83"/>
    <w:rsid w:val="5F6F0FB4"/>
    <w:rsid w:val="610C6201"/>
    <w:rsid w:val="621C761D"/>
    <w:rsid w:val="655834F7"/>
    <w:rsid w:val="6572099A"/>
    <w:rsid w:val="661C08AC"/>
    <w:rsid w:val="66411EF9"/>
    <w:rsid w:val="67157C63"/>
    <w:rsid w:val="674E2FFC"/>
    <w:rsid w:val="68E3273E"/>
    <w:rsid w:val="69CB5362"/>
    <w:rsid w:val="6AF32396"/>
    <w:rsid w:val="6B0726BC"/>
    <w:rsid w:val="6B773290"/>
    <w:rsid w:val="6D0F5985"/>
    <w:rsid w:val="6D837F22"/>
    <w:rsid w:val="701A7798"/>
    <w:rsid w:val="71E749FC"/>
    <w:rsid w:val="71F55825"/>
    <w:rsid w:val="74D1558C"/>
    <w:rsid w:val="759C6C29"/>
    <w:rsid w:val="76EF5943"/>
    <w:rsid w:val="773131F3"/>
    <w:rsid w:val="773C3E60"/>
    <w:rsid w:val="7821563D"/>
    <w:rsid w:val="7952415F"/>
    <w:rsid w:val="7B657139"/>
    <w:rsid w:val="7C2E0B76"/>
    <w:rsid w:val="7CB37074"/>
    <w:rsid w:val="7CD61DA0"/>
    <w:rsid w:val="7E97382D"/>
    <w:rsid w:val="7EEB1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Fließtext"/>
    <w:basedOn w:val="1"/>
    <w:qFormat/>
    <w:uiPriority w:val="99"/>
    <w:pPr>
      <w:overflowPunct w:val="0"/>
      <w:autoSpaceDE w:val="0"/>
      <w:autoSpaceDN w:val="0"/>
      <w:adjustRightInd w:val="0"/>
      <w:textAlignment w:val="baseline"/>
    </w:pPr>
    <w:rPr>
      <w:kern w:val="28"/>
      <w:szCs w:val="20"/>
    </w:r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9">
    <w:name w:val="Table Grid"/>
    <w:basedOn w:val="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qFormat/>
    <w:uiPriority w:val="0"/>
  </w:style>
  <w:style w:type="character" w:styleId="13">
    <w:name w:val="FollowedHyperlink"/>
    <w:basedOn w:val="10"/>
    <w:qFormat/>
    <w:uiPriority w:val="0"/>
    <w:rPr>
      <w:color w:val="800080"/>
      <w:u w:val="single"/>
    </w:rPr>
  </w:style>
  <w:style w:type="character" w:styleId="14">
    <w:name w:val="Hyperlink"/>
    <w:basedOn w:val="10"/>
    <w:unhideWhenUsed/>
    <w:qFormat/>
    <w:uiPriority w:val="99"/>
    <w:rPr>
      <w:color w:val="0000FF"/>
      <w:u w:val="single"/>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3318</Words>
  <Characters>3733</Characters>
  <Lines>0</Lines>
  <Paragraphs>0</Paragraphs>
  <TotalTime>7</TotalTime>
  <ScaleCrop>false</ScaleCrop>
  <LinksUpToDate>false</LinksUpToDate>
  <CharactersWithSpaces>3909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伊薛平</cp:lastModifiedBy>
  <dcterms:modified xsi:type="dcterms:W3CDTF">2023-07-20T07:26:00Z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6B63C2ADF8424D0D9560F2073E5BB7E1_13</vt:lpwstr>
  </property>
</Properties>
</file>