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：板纸事业部3#纸机传动系统改造</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2.1幅宽5500mm、车速900m/min纸机传动系统1套。</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2.2主要技术、质量的要求：具体详见附件1《福建省青山纸业股份有限公司板纸事业部3#纸机传动系统改造技术要求》。</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3.1交货时间：投标时注明最短交货期。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3.2交货地点：福建省三明市沙县区青州镇福建省青山纸业股份有限公司设备库或指定生产区域内。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4.1投标人应是具备独立法人资格，有资质和能力提供货物及服务、信用良好的国内企业或国际企业。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w:t>
      </w:r>
      <w:r>
        <w:rPr>
          <w:rFonts w:hint="eastAsia" w:ascii="Times New Roman" w:hAnsi="Times New Roman" w:eastAsia="宋体"/>
          <w:b w:val="0"/>
          <w:bCs w:val="0"/>
          <w:color w:val="auto"/>
          <w:sz w:val="24"/>
          <w:szCs w:val="24"/>
          <w:lang w:eastAsia="zh-CN"/>
        </w:rPr>
        <w:t>.2代理商投标的，投标人还应具备其代理的产品制造商的项目授权书。</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default"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5.</w:t>
      </w:r>
      <w:r>
        <w:rPr>
          <w:rFonts w:hint="default" w:ascii="Times New Roman" w:hAnsi="Times New Roman" w:eastAsia="宋体"/>
          <w:b/>
          <w:bCs/>
          <w:color w:val="auto"/>
          <w:sz w:val="24"/>
          <w:szCs w:val="24"/>
          <w:lang w:val="en-US" w:eastAsia="zh-CN"/>
        </w:rPr>
        <w:t>双方职责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5.1中标方按招标方技术要求提供设备、并负责现场指导安装、现场调试两次。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5.2中标方负责设备的运输，凡设备到招标方之前所产生的费用及意外损失由中标方负责承担。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5.3中标方对其所供标的物的质量、性能和运行可靠性负责。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5.4招标方根据合同要求及标的物的使用情况履行相关义务。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5.5按《招投标法》、《中华人民共和国民法典》等相关法律法规执行。</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color w:val="auto"/>
          <w:sz w:val="24"/>
          <w:szCs w:val="24"/>
          <w:lang w:val="en-US" w:eastAsia="zh-CN"/>
        </w:rPr>
        <w:t>6.验收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6.1验收标准：按国家和企业标准制造，产品符合使用要求。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6.2到货验收：中标方交付的产品规格、型号、数量及完好程度由指定收货人在收货时验收，到货并签署到货签收确认单。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6.3调试验收：产品安装调试完成后7日内对设备进行验收。设备调试完成，连续运行168小时无异常发生，符合技术要求，视为调试验收合格。合同设备运抵项目现场3个月未安装调试，自动视为设备调试验收合格。</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6.4调试验收合格后15日内，招标人和中标人双方签字（或盖章）确认验收报告。</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lang w:eastAsia="zh-CN"/>
        </w:rPr>
        <w:t>.1质量保证期为自设备验收合格之日起12个月或货到18个月（以时间先到为准），投标人可承诺更长的质量保证期。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7.2</w:t>
      </w:r>
      <w:r>
        <w:rPr>
          <w:rFonts w:hint="eastAsia" w:ascii="Times New Roman" w:hAnsi="Times New Roman" w:eastAsia="宋体"/>
          <w:b w:val="0"/>
          <w:bCs/>
          <w:color w:val="auto"/>
          <w:sz w:val="24"/>
          <w:szCs w:val="24"/>
          <w:lang w:eastAsia="zh-CN"/>
        </w:rPr>
        <w:t>质量保证期内非招标方原因引起的质量问题，中标方负责无偿返修，中标方未在买方规定的时间内返修，招标方有权选择其它供应商进行返修，返修费用由中标方承担。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：可支付预付款，预付款金额不超过总合同价金额的30%；验收合格后,招标方财务部收到全额增值税专用发票45天支付金额为：总合同价金额-预付款金额-质量保证金金额（总合同价的10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），支付方式：银行承兑汇票；质量保证金为总合同价的10％，在质量保证期满后三十天内付清，质量保证金不计利息。</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w:t>
      </w:r>
      <w:r>
        <w:rPr>
          <w:rFonts w:hint="eastAsia" w:ascii="Times New Roman" w:hAnsi="Times New Roman" w:eastAsia="宋体"/>
          <w:color w:val="auto"/>
          <w:sz w:val="24"/>
          <w:szCs w:val="24"/>
          <w:lang w:eastAsia="zh-CN"/>
        </w:rPr>
        <w:t>原则上</w:t>
      </w:r>
      <w:r>
        <w:rPr>
          <w:rFonts w:ascii="Times New Roman" w:hAnsi="Times New Roman" w:eastAsia="宋体"/>
          <w:color w:val="auto"/>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2报价为含13%增值税到厂价，以一票制方式结算</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9.3投标人须对提供的货物进行分项报价，总报价为分项报价合计。</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2"/>
        <w:tblW w:w="8979"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289"/>
        <w:gridCol w:w="735"/>
        <w:gridCol w:w="624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w:t>
            </w:r>
            <w:r>
              <w:rPr>
                <w:rFonts w:ascii="Times New Roman" w:hAnsi="Times New Roman" w:eastAsia="宋体" w:cs="Times New Roman"/>
                <w:color w:val="auto"/>
                <w:kern w:val="0"/>
                <w:szCs w:val="21"/>
              </w:rPr>
              <w:t>0分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F=</w:t>
            </w:r>
            <w:r>
              <w:rPr>
                <w:rFonts w:hint="eastAsia" w:ascii="Times New Roman" w:hAnsi="Times New Roman" w:eastAsia="宋体" w:cs="Times New Roman"/>
                <w:color w:val="auto"/>
                <w:kern w:val="0"/>
                <w:szCs w:val="21"/>
                <w:lang w:val="en-US" w:eastAsia="zh-CN"/>
              </w:rPr>
              <w:t>4</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50</w:t>
            </w:r>
            <w:r>
              <w:rPr>
                <w:rFonts w:ascii="Times New Roman" w:hAnsi="Times New Roman" w:eastAsia="宋体" w:cs="Times New Roman"/>
                <w:color w:val="auto"/>
                <w:kern w:val="0"/>
                <w:szCs w:val="21"/>
              </w:rPr>
              <w:t>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w:t>
            </w:r>
            <w:r>
              <w:rPr>
                <w:rFonts w:hint="default" w:ascii="Times New Roman" w:hAnsi="Times New Roman" w:eastAsia="宋体" w:cs="Times New Roman"/>
                <w:color w:val="auto"/>
                <w:kern w:val="0"/>
                <w:szCs w:val="21"/>
                <w:lang w:val="en-US" w:eastAsia="zh-CN"/>
              </w:rPr>
              <w:t>技术性能、制造水平及产品特点：</w:t>
            </w:r>
            <w:r>
              <w:rPr>
                <w:rFonts w:hint="eastAsia" w:ascii="Times New Roman" w:hAnsi="Times New Roman" w:eastAsia="宋体" w:cs="Times New Roman"/>
                <w:color w:val="auto"/>
                <w:kern w:val="0"/>
                <w:szCs w:val="21"/>
                <w:lang w:val="en-US" w:eastAsia="zh-CN"/>
              </w:rPr>
              <w:t>35</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②设备品质：</w:t>
            </w:r>
            <w:r>
              <w:rPr>
                <w:rFonts w:hint="default" w:ascii="Times New Roman" w:hAnsi="Times New Roman" w:eastAsia="宋体" w:cs="Times New Roman"/>
                <w:color w:val="auto"/>
                <w:kern w:val="0"/>
                <w:szCs w:val="21"/>
                <w:lang w:val="en-US" w:eastAsia="zh-CN"/>
              </w:rPr>
              <w:t>1</w:t>
            </w:r>
            <w:r>
              <w:rPr>
                <w:rFonts w:hint="eastAsia" w:ascii="Times New Roman" w:hAnsi="Times New Roman" w:eastAsia="宋体" w:cs="Times New Roman"/>
                <w:color w:val="auto"/>
                <w:kern w:val="0"/>
                <w:szCs w:val="21"/>
                <w:lang w:val="en-US" w:eastAsia="zh-CN"/>
              </w:rPr>
              <w:t>5</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w:t>
            </w:r>
            <w:r>
              <w:rPr>
                <w:rFonts w:hint="default" w:ascii="Times New Roman" w:hAnsi="Times New Roman" w:eastAsia="宋体" w:cs="Times New Roman"/>
                <w:color w:val="auto"/>
                <w:kern w:val="0"/>
                <w:szCs w:val="21"/>
                <w:lang w:val="en-US" w:eastAsia="zh-CN"/>
              </w:rPr>
              <w:t>不满足</w:t>
            </w:r>
            <w:r>
              <w:rPr>
                <w:rFonts w:hint="eastAsia" w:ascii="Times New Roman" w:hAnsi="Times New Roman" w:eastAsia="宋体" w:cs="Times New Roman"/>
                <w:color w:val="auto"/>
                <w:kern w:val="0"/>
                <w:szCs w:val="21"/>
                <w:lang w:val="en-US" w:eastAsia="zh-CN"/>
              </w:rPr>
              <w:t>设备</w:t>
            </w:r>
            <w:r>
              <w:rPr>
                <w:rFonts w:hint="default" w:ascii="Times New Roman" w:hAnsi="Times New Roman" w:eastAsia="宋体" w:cs="Times New Roman"/>
                <w:color w:val="auto"/>
                <w:kern w:val="0"/>
                <w:szCs w:val="21"/>
                <w:lang w:val="en-US" w:eastAsia="zh-CN"/>
              </w:rPr>
              <w:t>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①类似业绩（</w:t>
            </w:r>
            <w:r>
              <w:rPr>
                <w:rFonts w:hint="eastAsia" w:ascii="Times New Roman" w:hAnsi="Times New Roman" w:eastAsia="宋体" w:cs="Times New Roman"/>
                <w:color w:val="auto"/>
                <w:kern w:val="0"/>
                <w:szCs w:val="21"/>
                <w:lang w:val="en-US" w:eastAsia="zh-CN"/>
              </w:rPr>
              <w:t>3</w:t>
            </w:r>
            <w:r>
              <w:rPr>
                <w:rFonts w:hint="eastAsia" w:ascii="Times New Roman" w:hAnsi="Times New Roman" w:eastAsia="宋体" w:cs="Times New Roman"/>
                <w:color w:val="auto"/>
                <w:kern w:val="0"/>
                <w:szCs w:val="21"/>
                <w:lang w:eastAsia="zh-CN"/>
              </w:rPr>
              <w:t>分）：1分/份合同，以投标人五年内合同复印件为准，封顶</w:t>
            </w:r>
            <w:r>
              <w:rPr>
                <w:rFonts w:hint="eastAsia" w:ascii="Times New Roman" w:hAnsi="Times New Roman" w:eastAsia="宋体" w:cs="Times New Roman"/>
                <w:color w:val="auto"/>
                <w:kern w:val="0"/>
                <w:szCs w:val="21"/>
                <w:lang w:val="en-US" w:eastAsia="zh-CN"/>
              </w:rPr>
              <w:t>3</w:t>
            </w:r>
            <w:r>
              <w:rPr>
                <w:rFonts w:hint="eastAsia" w:ascii="Times New Roman" w:hAnsi="Times New Roman" w:eastAsia="宋体" w:cs="Times New Roman"/>
                <w:color w:val="auto"/>
                <w:kern w:val="0"/>
                <w:szCs w:val="21"/>
                <w:lang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②售后服务（</w:t>
            </w:r>
            <w:r>
              <w:rPr>
                <w:rFonts w:hint="eastAsia" w:ascii="Times New Roman" w:hAnsi="Times New Roman" w:eastAsia="宋体" w:cs="Times New Roman"/>
                <w:color w:val="auto"/>
                <w:kern w:val="0"/>
                <w:szCs w:val="21"/>
                <w:lang w:val="en-US" w:eastAsia="zh-CN"/>
              </w:rPr>
              <w:t>2</w:t>
            </w:r>
            <w:r>
              <w:rPr>
                <w:rFonts w:hint="eastAsia" w:ascii="Times New Roman" w:hAnsi="Times New Roman" w:eastAsia="宋体" w:cs="Times New Roman"/>
                <w:color w:val="auto"/>
                <w:kern w:val="0"/>
                <w:szCs w:val="21"/>
                <w:lang w:eastAsia="zh-CN"/>
              </w:rPr>
              <w:t>分）：质保期最长的为满分2分，其它的按比例得分。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①承兑汇票（1分）：接受的得1分，不接受的得0分；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②10%质保金（1分）：接受的得1分，不接受的得0分；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③预付方式（3分）：无付款的得3分，有预付款的按照预付款比例相应扣分。</w:t>
            </w:r>
          </w:p>
        </w:tc>
      </w:tr>
    </w:tbl>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7</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17</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15</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1"/>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90000元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已结未付</w:t>
      </w:r>
      <w:r>
        <w:rPr>
          <w:rFonts w:ascii="Times New Roman" w:hAnsi="Times New Roman" w:eastAsia="宋体"/>
          <w:color w:val="auto"/>
          <w:sz w:val="24"/>
          <w:szCs w:val="24"/>
        </w:rPr>
        <w:t>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12.2.3银行保函。银行保函单独密封装订。</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13.1.1投标保证金凭证：银行电汇回单或投标保证金函或银行保函。</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技术方案以及附件</w:t>
      </w:r>
      <w:r>
        <w:rPr>
          <w:rFonts w:hint="eastAsia" w:ascii="Times New Roman" w:hAnsi="Times New Roman" w:eastAsia="宋体"/>
          <w:color w:val="auto"/>
          <w:sz w:val="24"/>
          <w:szCs w:val="24"/>
          <w:lang w:val="en-US" w:eastAsia="zh-CN"/>
        </w:rPr>
        <w:t>1中要求提供的其他技术方面的文件</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五年内类似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w:t>
      </w:r>
      <w:r>
        <w:rPr>
          <w:rFonts w:hint="eastAsia" w:ascii="Times New Roman" w:hAnsi="Times New Roman" w:eastAsia="宋体"/>
          <w:color w:val="auto"/>
          <w:sz w:val="24"/>
          <w:szCs w:val="24"/>
          <w:lang w:eastAsia="zh-CN"/>
        </w:rPr>
        <w:t>付款方式写明是否要预付款以及预付比例，如未说明则视为无预付款，其他商务偏离</w:t>
      </w:r>
      <w:r>
        <w:rPr>
          <w:rFonts w:ascii="Times New Roman" w:hAnsi="Times New Roman" w:eastAsia="宋体"/>
          <w:color w:val="auto"/>
          <w:sz w:val="24"/>
          <w:szCs w:val="24"/>
        </w:rPr>
        <w:t>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1"/>
          <w:rFonts w:ascii="Times New Roman" w:hAnsi="Times New Roman" w:eastAsia="宋体" w:cs="Times New Roman"/>
          <w:color w:val="0000FF"/>
          <w:sz w:val="24"/>
          <w:szCs w:val="24"/>
          <w:shd w:val="clear" w:color="auto" w:fill="FFFFFF"/>
        </w:rPr>
        <w:t>www.qingshanpaper.com</w:t>
      </w:r>
      <w:r>
        <w:rPr>
          <w:rStyle w:val="11"/>
          <w:rFonts w:ascii="Times New Roman" w:hAnsi="Times New Roman" w:eastAsia="宋体" w:cs="Times New Roman"/>
          <w:color w:val="0000FF"/>
          <w:sz w:val="24"/>
          <w:szCs w:val="24"/>
          <w:shd w:val="clear" w:color="auto" w:fill="FFFFFF"/>
        </w:rPr>
        <w:fldChar w:fldCharType="end"/>
      </w:r>
      <w:r>
        <w:rPr>
          <w:rStyle w:val="11"/>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1"/>
          <w:rFonts w:hint="eastAsia" w:ascii="Times New Roman" w:hAnsi="Times New Roman" w:eastAsia="宋体" w:cs="Times New Roman"/>
          <w:color w:val="auto"/>
          <w:sz w:val="24"/>
          <w:szCs w:val="24"/>
          <w:u w:val="none"/>
          <w:shd w:val="clear" w:color="auto" w:fill="FFFFFF"/>
          <w:lang w:eastAsia="zh-CN"/>
        </w:rPr>
        <w:fldChar w:fldCharType="begin"/>
      </w:r>
      <w:r>
        <w:rPr>
          <w:rStyle w:val="11"/>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1"/>
          <w:rFonts w:hint="eastAsia" w:ascii="Times New Roman" w:hAnsi="Times New Roman" w:eastAsia="宋体" w:cs="Times New Roman"/>
          <w:color w:val="auto"/>
          <w:sz w:val="24"/>
          <w:szCs w:val="24"/>
          <w:u w:val="none"/>
          <w:shd w:val="clear" w:color="auto" w:fill="FFFFFF"/>
          <w:lang w:eastAsia="zh-CN"/>
        </w:rPr>
        <w:fldChar w:fldCharType="separate"/>
      </w:r>
      <w:r>
        <w:rPr>
          <w:rStyle w:val="11"/>
          <w:rFonts w:hint="eastAsia" w:ascii="Times New Roman" w:hAnsi="Times New Roman" w:eastAsia="宋体" w:cs="Times New Roman"/>
          <w:sz w:val="24"/>
          <w:szCs w:val="24"/>
          <w:shd w:val="clear" w:color="auto" w:fill="FFFFFF"/>
          <w:lang w:eastAsia="zh-CN"/>
        </w:rPr>
        <w:t>www.fjqfkg.com</w:t>
      </w:r>
      <w:r>
        <w:rPr>
          <w:rStyle w:val="11"/>
          <w:rFonts w:hint="eastAsia" w:ascii="Times New Roman" w:hAnsi="Times New Roman" w:eastAsia="宋体" w:cs="Times New Roman"/>
          <w:color w:val="auto"/>
          <w:sz w:val="24"/>
          <w:szCs w:val="24"/>
          <w:u w:val="none"/>
          <w:shd w:val="clear" w:color="auto" w:fill="FFFFFF"/>
          <w:lang w:eastAsia="zh-CN"/>
        </w:rPr>
        <w:fldChar w:fldCharType="end"/>
      </w:r>
      <w:r>
        <w:rPr>
          <w:rStyle w:val="11"/>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https:</w:t>
      </w:r>
      <w:r>
        <w:rPr>
          <w:rStyle w:val="11"/>
          <w:rFonts w:hint="eastAsia" w:ascii="Times New Roman" w:hAnsi="Times New Roman" w:eastAsia="宋体"/>
          <w:b w:val="0"/>
          <w:bCs w:val="0"/>
          <w:sz w:val="24"/>
          <w:szCs w:val="24"/>
          <w:lang w:val="en-US" w:eastAsia="zh-CN"/>
        </w:rPr>
        <w:t>//</w:t>
      </w:r>
      <w:r>
        <w:rPr>
          <w:rStyle w:val="11"/>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ht</w:t>
      </w:r>
      <w:r>
        <w:rPr>
          <w:rStyle w:val="11"/>
          <w:rFonts w:hint="eastAsia" w:ascii="Times New Roman" w:hAnsi="Times New Roman" w:cs="Times New Roman"/>
          <w:sz w:val="24"/>
          <w:szCs w:val="24"/>
          <w:shd w:val="clear" w:color="auto" w:fill="FFFFFF"/>
          <w:lang w:val="en-US" w:eastAsia="zh-CN"/>
        </w:rPr>
        <w:t>tp://y</w:t>
      </w:r>
      <w:r>
        <w:rPr>
          <w:rStyle w:val="11"/>
          <w:rFonts w:hint="eastAsia" w:ascii="Times New Roman" w:hAnsi="Times New Roman" w:eastAsia="宋体" w:cs="Times New Roman"/>
          <w:sz w:val="24"/>
          <w:szCs w:val="24"/>
          <w:shd w:val="clear" w:color="auto" w:fill="FFFFFF"/>
        </w:rPr>
        <w:t>gcg</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f</w:t>
      </w:r>
      <w:r>
        <w:rPr>
          <w:rStyle w:val="11"/>
          <w:rFonts w:hint="eastAsia" w:ascii="Times New Roman" w:hAnsi="Times New Roman" w:cs="Times New Roman"/>
          <w:sz w:val="24"/>
          <w:szCs w:val="24"/>
          <w:shd w:val="clear" w:color="auto" w:fill="FFFFFF"/>
          <w:lang w:val="en-US" w:eastAsia="zh-CN"/>
        </w:rPr>
        <w:t>j</w:t>
      </w:r>
      <w:r>
        <w:rPr>
          <w:rStyle w:val="11"/>
          <w:rFonts w:hint="eastAsia" w:ascii="Times New Roman" w:hAnsi="Times New Roman" w:eastAsia="宋体" w:cs="Times New Roman"/>
          <w:sz w:val="24"/>
          <w:szCs w:val="24"/>
          <w:shd w:val="clear" w:color="auto" w:fill="FFFFFF"/>
        </w:rPr>
        <w:t>c</w:t>
      </w:r>
      <w:r>
        <w:rPr>
          <w:rStyle w:val="11"/>
          <w:rFonts w:hint="eastAsia" w:ascii="Times New Roman" w:hAnsi="Times New Roman" w:cs="Times New Roman"/>
          <w:sz w:val="24"/>
          <w:szCs w:val="24"/>
          <w:shd w:val="clear" w:color="auto" w:fill="FFFFFF"/>
          <w:lang w:val="en-US" w:eastAsia="zh-CN"/>
        </w:rPr>
        <w:t>qj</w:t>
      </w:r>
      <w:r>
        <w:rPr>
          <w:rStyle w:val="11"/>
          <w:rFonts w:hint="eastAsia" w:ascii="Times New Roman" w:hAnsi="Times New Roman" w:eastAsia="宋体" w:cs="Times New Roman"/>
          <w:sz w:val="24"/>
          <w:szCs w:val="24"/>
          <w:shd w:val="clear" w:color="auto" w:fill="FFFFFF"/>
        </w:rPr>
        <w:t>y</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技术联系人：李经理13950902578（板纸）、杨工13559873242（设备部）</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1：福建省青山纸业股份有限公司板纸事业部3#纸机传动系统改造技术要求【注：有意向参与投标的单位，可联系招标办获取】</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color w:val="auto"/>
          <w:sz w:val="24"/>
          <w:szCs w:val="24"/>
          <w:lang w:val="en-US" w:eastAsia="zh-CN"/>
        </w:rPr>
        <w:t>7</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10</w:t>
      </w:r>
      <w:bookmarkStart w:id="0" w:name="_GoBack"/>
      <w:bookmarkEnd w:id="0"/>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overflowPunct/>
        <w:topLinePunct w:val="0"/>
        <w:autoSpaceDE/>
        <w:autoSpaceDN/>
        <w:bidi w:val="0"/>
        <w:adjustRightInd/>
        <w:snapToGrid/>
        <w:spacing w:line="410" w:lineRule="exact"/>
        <w:textAlignment w:val="auto"/>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3SB147C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4C052B0"/>
    <w:rsid w:val="16880B6E"/>
    <w:rsid w:val="16A33A8B"/>
    <w:rsid w:val="17E62151"/>
    <w:rsid w:val="19CF43E9"/>
    <w:rsid w:val="19D304ED"/>
    <w:rsid w:val="1A263DD0"/>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01F30"/>
    <w:rsid w:val="2ACE7F9E"/>
    <w:rsid w:val="2BC45956"/>
    <w:rsid w:val="2C525A9B"/>
    <w:rsid w:val="2D6E3876"/>
    <w:rsid w:val="2D91433C"/>
    <w:rsid w:val="2EA81856"/>
    <w:rsid w:val="2FC9595E"/>
    <w:rsid w:val="301B3B01"/>
    <w:rsid w:val="312D105A"/>
    <w:rsid w:val="315644D0"/>
    <w:rsid w:val="31BD57A7"/>
    <w:rsid w:val="33DD320D"/>
    <w:rsid w:val="33F87B1A"/>
    <w:rsid w:val="34BF3021"/>
    <w:rsid w:val="35606AE4"/>
    <w:rsid w:val="35E5575B"/>
    <w:rsid w:val="38D24906"/>
    <w:rsid w:val="394D2CDE"/>
    <w:rsid w:val="39E9615C"/>
    <w:rsid w:val="3BC53092"/>
    <w:rsid w:val="3C5513A3"/>
    <w:rsid w:val="3C584342"/>
    <w:rsid w:val="3C7C5725"/>
    <w:rsid w:val="3D9A2B8C"/>
    <w:rsid w:val="3E4F62F6"/>
    <w:rsid w:val="3E832FBD"/>
    <w:rsid w:val="3EF50209"/>
    <w:rsid w:val="3F455623"/>
    <w:rsid w:val="3F550899"/>
    <w:rsid w:val="3F731E14"/>
    <w:rsid w:val="3F7334C5"/>
    <w:rsid w:val="40AA422C"/>
    <w:rsid w:val="44082718"/>
    <w:rsid w:val="47BB01F2"/>
    <w:rsid w:val="47C60904"/>
    <w:rsid w:val="4810454C"/>
    <w:rsid w:val="48571F9B"/>
    <w:rsid w:val="485A1FE6"/>
    <w:rsid w:val="494848CE"/>
    <w:rsid w:val="4ACF470A"/>
    <w:rsid w:val="4D7F2920"/>
    <w:rsid w:val="50635474"/>
    <w:rsid w:val="510D00AA"/>
    <w:rsid w:val="53B91808"/>
    <w:rsid w:val="54585E17"/>
    <w:rsid w:val="55867334"/>
    <w:rsid w:val="55912732"/>
    <w:rsid w:val="574E15B7"/>
    <w:rsid w:val="5A105A15"/>
    <w:rsid w:val="5D23354B"/>
    <w:rsid w:val="5D785372"/>
    <w:rsid w:val="5D94260B"/>
    <w:rsid w:val="5DAE499A"/>
    <w:rsid w:val="5F194A83"/>
    <w:rsid w:val="5F6F0FB4"/>
    <w:rsid w:val="610928EA"/>
    <w:rsid w:val="62A84C8F"/>
    <w:rsid w:val="63A30CC0"/>
    <w:rsid w:val="64DB1FB5"/>
    <w:rsid w:val="655834F7"/>
    <w:rsid w:val="661C08AC"/>
    <w:rsid w:val="67157C63"/>
    <w:rsid w:val="674E2FFC"/>
    <w:rsid w:val="67695FF5"/>
    <w:rsid w:val="68E3273E"/>
    <w:rsid w:val="69CB5362"/>
    <w:rsid w:val="6AF32396"/>
    <w:rsid w:val="6AF86597"/>
    <w:rsid w:val="6B0726BC"/>
    <w:rsid w:val="6B773290"/>
    <w:rsid w:val="6D0F5985"/>
    <w:rsid w:val="6DEC5843"/>
    <w:rsid w:val="701A7798"/>
    <w:rsid w:val="70AC7857"/>
    <w:rsid w:val="71E749FC"/>
    <w:rsid w:val="71F55825"/>
    <w:rsid w:val="71FA0AA6"/>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adjustRightInd w:val="0"/>
      <w:snapToGrid w:val="0"/>
      <w:spacing w:after="48" w:afterLines="20" w:line="260" w:lineRule="atLeast"/>
      <w:ind w:firstLine="360" w:firstLineChars="171"/>
      <w:outlineLvl w:val="1"/>
    </w:pPr>
    <w:rPr>
      <w:rFonts w:ascii="宋体" w:hAnsi="宋体" w:eastAsia="宋体" w:cs="Times New Roman"/>
      <w:b/>
      <w:bCs/>
      <w:kern w:val="0"/>
      <w:szCs w:val="21"/>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 w:type="paragraph" w:customStyle="1" w:styleId="15">
    <w:name w:val="Table Paragraph"/>
    <w:basedOn w:val="1"/>
    <w:unhideWhenUsed/>
    <w:qFormat/>
    <w:uiPriority w:val="1"/>
    <w:pPr>
      <w:spacing w:before="48" w:beforeLines="0" w:afterLines="0"/>
      <w:ind w:left="61"/>
    </w:pPr>
    <w:rPr>
      <w:rFonts w:hint="eastAsi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2023-07-10T09:31:18Z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