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：板纸3#机2003水力碎浆机减速箱维修</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2.1设备参数：</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 xml:space="preserve">机型：WJRHB2SVA3-9-A　1台　　　品牌：杭州杰牌     编号：J2-180018021 </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2.2维护修理内容：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板纸3#机2003水力碎浆机使用过程中，外置油冷却器串水至减速箱内，造成减速箱轴承损坏，过桥齿轮轴、输出大齿轮、伞齿轮副打坏。减速箱结构较复杂，对装配要求较高，需更换输入扇形齿轴、扇形齿轮及轴承更换、间隙调整等。</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2.2.2更换零部件清单：（以下“乙供”指中标人提供，“甲供”指招标人提供）</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（1）齿轮轴'182133410001（乙供1件）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（2）齿轮'172134410001（乙供1件）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（3）伞齿轮副'199701000121（乙供1对）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（4）输出轴轴承位修护（乙供1项）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（5）轴承32226J2DF-SKE（甲供1件）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（6）轴承NJ2326ECMA-SKF（甲供1件）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（7）轴承32324J2-SKF（甲供2件）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（8）轴承23044CCW33SKF（甲供2件）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（9）油封FB120×150×12NBRCFW（乙供1件）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（10）油封FB220×250×15-NBR-CFW（乙供1件）。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（11）箱体内部清洗维护维修、壳体清洗。（乙供1项）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2.2.3除招标人提供的零部件外中标人包工包料修理，运输就近负责。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2.2.4设备修理调试结束，出具证书，才能交付招标方使用。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2.2.5说明：</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2.2.5.1设备维修过程中相关内容如上述方案中未涉及，增加的维修工作及费用由双方友好协商解决。</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2.2.5.2所有更换的零部件和修理在投标时必须列出维修更换部件清单，同时说明维修内容；维修过程中如出现不在上述备件清单的零部件需要更换相关费用另计。</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2.3验收要求：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按照原厂家的制造和运行标准验收，同时满足招标方的生产要求。</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r>
        <w:rPr>
          <w:rFonts w:hint="eastAsia" w:ascii="Times New Roman" w:hAnsi="Times New Roman" w:eastAsia="宋体"/>
          <w:b w:val="0"/>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3.1交货时间：投标文件中注明修理交货时间。</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3.2交货地点：福建省三明市沙县区青州镇福建省青山纸业股份有限公司指定区域内。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4.1投标人应是具有独立法人资格，有资质和能力提供修理服务、信用良好的国内企业或国际企业。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4.2非实际修理厂家的投标人须提供代理证书。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4.3非原厂家的投标人须提供类似修理业绩，以合同复印件为准。</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：质量保证期为项目验收合格后12个月</w:t>
      </w:r>
      <w:r>
        <w:rPr>
          <w:rFonts w:hint="eastAsia" w:ascii="Times New Roman" w:hAnsi="Times New Roman" w:eastAsia="宋体"/>
          <w:b w:val="0"/>
          <w:bCs/>
          <w:color w:val="auto"/>
          <w:sz w:val="24"/>
          <w:szCs w:val="24"/>
        </w:rPr>
        <w:t>，投标人可承诺更长的质保期。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6.1</w:t>
      </w:r>
      <w:r>
        <w:rPr>
          <w:rFonts w:hint="eastAsia" w:ascii="Times New Roman" w:hAnsi="Times New Roman" w:eastAsia="宋体"/>
          <w:b w:val="0"/>
          <w:bCs/>
          <w:color w:val="auto"/>
          <w:sz w:val="24"/>
          <w:szCs w:val="24"/>
          <w:lang w:eastAsia="zh-CN"/>
        </w:rPr>
        <w:t>本工程不支付预付款和进度款，项目验收合格后招标方财务部收到全额发票45天支付工程总合同价的90%（银行承兑汇票），质保金为总合同价的10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，在质保期满后三十天内付清，质保金不计利息。人民币报价和结算，中标人开具13%增值税专用发票。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.2付款方式不得偏离，否则投标将被否决。</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7.1技术培训、现场安装指导、调试、试机直至验收等费用，该报价包含在投标总价中，中标人须开具13%增值税专用发票。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7.2本次招标采取一次性报价方式。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7.3本次招标设置招标控制价为人民币贰拾伍万元整（¥250000）。</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8.1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8.2投标人报价超过招标控制价的，则否决其投标。</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F=60-（A- AD ）÷（AG- AD ）×6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①设备满足招标文件要求的程度：10分；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①类似业绩（3分）：1分/份合同（以三年内类似减速箱修理合同复印件为准），封顶3分；投标人或其代理的公司为杭州杰牌，得3分。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w:t>
            </w:r>
            <w:r>
              <w:rPr>
                <w:rFonts w:hint="eastAsia"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eastAsia="zh-CN"/>
              </w:rPr>
              <w:t>分）：质保期1年为</w:t>
            </w:r>
            <w:bookmarkStart w:id="0" w:name="_GoBack"/>
            <w:bookmarkEnd w:id="0"/>
            <w:r>
              <w:rPr>
                <w:rFonts w:hint="eastAsia" w:ascii="Times New Roman" w:hAnsi="Times New Roman" w:eastAsia="宋体" w:cs="Times New Roman"/>
                <w:color w:val="auto"/>
                <w:kern w:val="0"/>
                <w:szCs w:val="21"/>
                <w:lang w:eastAsia="zh-CN"/>
              </w:rPr>
              <w:t>1分，每增加6个月得0.5分。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5000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三年内类似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技术联系人：林宇宁18750855309</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13</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6</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26</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jc w:val="left"/>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3SB146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宋体" w:hAnsi="宋体"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2023-06-26T01:01:47Z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