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：生产经营现场虫害防治服务</w:t>
      </w:r>
    </w:p>
    <w:p>
      <w:pPr>
        <w:keepNext w:val="0"/>
        <w:keepLines w:val="0"/>
        <w:pageBreakBefore w:val="0"/>
        <w:widowControl w:val="0"/>
        <w:kinsoku/>
        <w:wordWrap/>
        <w:overflowPunct/>
        <w:topLinePunct w:val="0"/>
        <w:autoSpaceDE/>
        <w:autoSpaceDN/>
        <w:bidi w:val="0"/>
        <w:adjustRightInd/>
        <w:snapToGrid/>
        <w:spacing w:after="157" w:afterLines="50" w:line="44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w:t>
      </w:r>
      <w:r>
        <w:rPr>
          <w:rFonts w:hint="eastAsia" w:ascii="Times New Roman" w:hAnsi="Times New Roman" w:eastAsia="宋体"/>
          <w:b w:val="0"/>
          <w:bCs/>
          <w:color w:val="auto"/>
          <w:sz w:val="24"/>
          <w:szCs w:val="24"/>
          <w:lang w:eastAsia="zh-CN"/>
        </w:rPr>
        <w:t>：</w:t>
      </w:r>
    </w:p>
    <w:tbl>
      <w:tblPr>
        <w:tblStyle w:val="12"/>
        <w:tblW w:w="9150" w:type="dxa"/>
        <w:tblInd w:w="1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269"/>
        <w:gridCol w:w="6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序号</w:t>
            </w:r>
          </w:p>
        </w:tc>
        <w:tc>
          <w:tcPr>
            <w:tcW w:w="22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服务地点</w:t>
            </w:r>
          </w:p>
        </w:tc>
        <w:tc>
          <w:tcPr>
            <w:tcW w:w="616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主要技术要求、设备配置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1</w:t>
            </w:r>
          </w:p>
        </w:tc>
        <w:tc>
          <w:tcPr>
            <w:tcW w:w="226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板纸事业部2#生产线、</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（含淀粉投料间）</w:t>
            </w:r>
          </w:p>
        </w:tc>
        <w:tc>
          <w:tcPr>
            <w:tcW w:w="6161" w:type="dxa"/>
            <w:vMerge w:val="restart"/>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鼠类(黄胸鼠、褐家鼠、小家鼠)、蜚蠊类(德国小蠊、美洲大蠊、黑胸大蠊)、飞虫成虫（包含蚊、蝇、蛾等）消杀控制服务；</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*销售部食品纸库、浆／纸产品所有仓库(含库外堆放点)，供应部工艺备品仓库另需白蚂蚁消杀控制服务；</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通过采取适当的措施如物理办法、化学办法或者其它综合治理措施，使受控区域的虫害指标达到国家有关标准规定和行业的有关规定要求。</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bCs w:val="0"/>
                <w:color w:val="auto"/>
                <w:sz w:val="21"/>
                <w:szCs w:val="21"/>
                <w:vertAlign w:val="baseline"/>
                <w:lang w:val="en-US" w:eastAsia="zh-CN"/>
              </w:rPr>
              <w:t>设备配置：</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2#纸机生产线需提供捕虫灯20台，粘鼠板11个，外围鼠饵盒20个。</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销售部食品纸仓库我司自有的捕虫灯4台、销售部食品纸仓库和供应部原料库粘鼠板约50个。</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中标单位提供的设备拥有所有权。合同期满后由中标单位处置，但在合同期内有出现故障或自然损坏的需免费补齐。</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bCs w:val="0"/>
                <w:color w:val="auto"/>
                <w:sz w:val="21"/>
                <w:szCs w:val="21"/>
                <w:vertAlign w:val="baseline"/>
                <w:lang w:val="en-US" w:eastAsia="zh-CN"/>
              </w:rPr>
              <w:t>服务频率：</w:t>
            </w:r>
            <w:r>
              <w:rPr>
                <w:rFonts w:hint="eastAsia" w:ascii="Times New Roman" w:hAnsi="Times New Roman" w:eastAsia="宋体" w:cs="宋体"/>
                <w:b w:val="0"/>
                <w:bCs/>
                <w:color w:val="auto"/>
                <w:sz w:val="21"/>
                <w:szCs w:val="21"/>
                <w:vertAlign w:val="baseline"/>
                <w:lang w:val="en-US" w:eastAsia="zh-CN"/>
              </w:rPr>
              <w:t>虫害高发期5-10月：2次/月；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虫害低发期11-4月：1次/月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5"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2</w:t>
            </w:r>
          </w:p>
        </w:tc>
        <w:tc>
          <w:tcPr>
            <w:tcW w:w="226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销售部</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食品纸仓库，</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浆／纸产品所有仓库(含库外堆放点)</w:t>
            </w:r>
          </w:p>
        </w:tc>
        <w:tc>
          <w:tcPr>
            <w:tcW w:w="6161" w:type="dxa"/>
            <w:vMerge w:val="continue"/>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Times New Roman" w:hAnsi="Times New Roman" w:eastAsia="宋体" w:cs="宋体"/>
                <w:b w:val="0"/>
                <w:bCs/>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3</w:t>
            </w:r>
          </w:p>
        </w:tc>
        <w:tc>
          <w:tcPr>
            <w:tcW w:w="226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供应部</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原料库，</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宋体" w:cs="宋体"/>
                <w:b w:val="0"/>
                <w:bCs/>
                <w:color w:val="auto"/>
                <w:sz w:val="21"/>
                <w:szCs w:val="21"/>
                <w:vertAlign w:val="baseline"/>
                <w:lang w:val="en-US" w:eastAsia="zh-CN"/>
              </w:rPr>
            </w:pPr>
            <w:r>
              <w:rPr>
                <w:rFonts w:hint="eastAsia" w:ascii="Times New Roman" w:hAnsi="Times New Roman" w:eastAsia="宋体" w:cs="宋体"/>
                <w:b w:val="0"/>
                <w:bCs/>
                <w:color w:val="auto"/>
                <w:sz w:val="21"/>
                <w:szCs w:val="21"/>
                <w:vertAlign w:val="baseline"/>
                <w:lang w:val="en-US" w:eastAsia="zh-CN"/>
              </w:rPr>
              <w:t>工艺备品仓库</w:t>
            </w:r>
          </w:p>
        </w:tc>
        <w:tc>
          <w:tcPr>
            <w:tcW w:w="6161" w:type="dxa"/>
            <w:vMerge w:val="continue"/>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Times New Roman" w:hAnsi="Times New Roman" w:eastAsia="宋体" w:cs="宋体"/>
                <w:b w:val="0"/>
                <w:bCs/>
                <w:color w:val="auto"/>
                <w:sz w:val="21"/>
                <w:szCs w:val="21"/>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before="157" w:beforeLines="50" w:line="44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合同期限</w:t>
      </w:r>
      <w:r>
        <w:rPr>
          <w:rFonts w:hint="eastAsia" w:ascii="Times New Roman" w:hAnsi="Times New Roman" w:eastAsia="宋体"/>
          <w:b w:val="0"/>
          <w:bCs/>
          <w:color w:val="auto"/>
          <w:sz w:val="24"/>
          <w:szCs w:val="24"/>
          <w:lang w:eastAsia="zh-CN"/>
        </w:rPr>
        <w:t>：2023年6月1日起，到2025年5月31日。</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.投标人资格要求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4.1投标人必须是独立法人企业，具备一般纳税人资格。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4.2中国卫生有害生物防治颁发的资质证或当地爱卫办备案证书。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4.3 2019年1月份以来从事过食品企业生产车间杀虫作业的业绩，证明材料提供至少一份合同或中标通知书（复印件加盖投标单位公章）。</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4.4为相关人员在服务过程潜在的风险购买第三方保险（如：使用药品不当造成人员伤亡、食品污染的、防治方法不当造成人身损害或财产损失等），提供相关保险单据或证明。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4.5本项目不接受联合体投标。</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：防治费用每2月支付1次。中标人每两个月防治作业完成后，招标人财务部收到每期6%增值税专票45天后电汇支付。</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6.1投标人报价为含6%增值税价格，按附件1《投标报价表》进行报价。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6.2本次招标原则上采取一次性报价方式。</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.评标办法</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7.1本项目采用经评审最低投标价中标的办法评标。经评审的最低投标价格的投标人确定为中标候选人，中标候选人将在本公司网站上公示三天，无异议后转为中标人。</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29</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6</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color w:val="auto"/>
          <w:sz w:val="24"/>
          <w:szCs w:val="24"/>
          <w:highlight w:val="none"/>
          <w:lang w:val="en-US" w:eastAsia="zh-CN"/>
        </w:rPr>
        <w:t>8.2.3网络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上参与投标的，应按招标文件的要求制作投标文件后扫描上传至1688采购平台，资格文件、技术文件、商务文件分别扫描上传。</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b/>
          <w:bCs/>
          <w:sz w:val="24"/>
          <w:szCs w:val="24"/>
          <w:lang w:val="en-US" w:eastAsia="zh-CN"/>
        </w:rPr>
        <w:t>9.投标及履约保证金</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9.1投标人应在开标时间之前缴交投标保证金5000元。</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9.2投标保证金任选如下一种形式提交：</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9.2.1银行电汇；（开户银行：工商银行沙县青州支行、账户名：福建省青山纸业股份有限公司、账号：1404049409001000160。汇款人须注明投标单位名称）。银行电汇回单单独密封装订。</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9.2.2投标保证金函；若本公司与投标人尚有已结未付款项（各类未到期的保证金除外）且数额足够抵扣投标保证金时，投标人可出具正式公函明确要求本公司从其未结货款中转扣,但应在开标前得到本公司财务的确认。投标保证金函单独密封装订。</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9.5中标的投标人的投标保证金，将在中标人签订合同时转为履约保证金，合同按时履行完毕后，中标人无违约行为被扣款的，予以全额无息退还，以未结货款转抵形式的将转回未结货款并按正常渠道结算。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9.6如投标人有下列情况发生时，其投标保证金将被不予退还：</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9.6.1投标人在投标有效期内撤回投标的；</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9.6.2成为中标人后5日内，因中标方原因无法签订合同的；</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9.6.3中标方在签订合同过程中，临时增加对我司不利的条款或减免中标方在投标文件或投标过程中承诺的条款；</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9.6.4其他违反法律规定的。</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w:t>
      </w:r>
      <w:r>
        <w:rPr>
          <w:rFonts w:ascii="Times New Roman" w:hAnsi="Times New Roman" w:eastAsia="宋体"/>
          <w:color w:val="auto"/>
          <w:sz w:val="24"/>
          <w:szCs w:val="24"/>
        </w:rPr>
        <w:t>，第</w:t>
      </w:r>
      <w:r>
        <w:rPr>
          <w:rFonts w:hint="eastAsia" w:ascii="Times New Roman" w:hAnsi="Times New Roman" w:eastAsia="宋体"/>
          <w:color w:val="auto"/>
          <w:sz w:val="24"/>
          <w:szCs w:val="24"/>
          <w:lang w:eastAsia="zh-CN"/>
        </w:rPr>
        <w:t>二</w:t>
      </w:r>
      <w:r>
        <w:rPr>
          <w:rFonts w:ascii="Times New Roman" w:hAnsi="Times New Roman" w:eastAsia="宋体"/>
          <w:color w:val="auto"/>
          <w:sz w:val="24"/>
          <w:szCs w:val="24"/>
        </w:rPr>
        <w:t>部分为资格文件，第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10.1.1</w:t>
      </w:r>
      <w:r>
        <w:rPr>
          <w:rFonts w:hint="eastAsia" w:ascii="Times New Roman" w:hAnsi="Times New Roman" w:eastAsia="宋体"/>
          <w:color w:val="auto"/>
          <w:sz w:val="24"/>
          <w:szCs w:val="24"/>
        </w:rPr>
        <w:t>投标保证金凭证</w:t>
      </w:r>
      <w:r>
        <w:rPr>
          <w:rFonts w:hint="eastAsia" w:ascii="Times New Roman" w:hAnsi="Times New Roman" w:eastAsia="宋体"/>
          <w:color w:val="auto"/>
          <w:sz w:val="24"/>
          <w:szCs w:val="24"/>
          <w:lang w:eastAsia="zh-CN"/>
        </w:rPr>
        <w:t>：银行电汇回单或投标保证金函。</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1.3</w:t>
      </w:r>
      <w:r>
        <w:rPr>
          <w:rFonts w:ascii="Times New Roman" w:hAnsi="Times New Roman" w:eastAsia="宋体"/>
          <w:color w:val="auto"/>
          <w:sz w:val="24"/>
          <w:szCs w:val="24"/>
        </w:rPr>
        <w:t>技术文件编制一式</w:t>
      </w:r>
      <w:r>
        <w:rPr>
          <w:rFonts w:hint="eastAsia" w:ascii="Times New Roman" w:hAnsi="Times New Roman" w:eastAsia="宋体"/>
          <w:color w:val="auto"/>
          <w:sz w:val="24"/>
          <w:szCs w:val="24"/>
          <w:lang w:eastAsia="zh-CN"/>
        </w:rPr>
        <w:t>二</w:t>
      </w:r>
      <w:r>
        <w:rPr>
          <w:rFonts w:ascii="Times New Roman" w:hAnsi="Times New Roman" w:eastAsia="宋体"/>
          <w:color w:val="auto"/>
          <w:sz w:val="24"/>
          <w:szCs w:val="24"/>
        </w:rPr>
        <w:t>份，包括</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防治方案、设备及人员配置、</w:t>
      </w:r>
      <w:r>
        <w:rPr>
          <w:rFonts w:hint="eastAsia" w:ascii="Times New Roman" w:hAnsi="Times New Roman" w:eastAsia="宋体"/>
          <w:color w:val="auto"/>
          <w:sz w:val="24"/>
          <w:szCs w:val="24"/>
        </w:rPr>
        <w:t>技术偏离表、招标文件要求提供的其它技术方面的文件，等等</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1.4</w:t>
      </w:r>
      <w:r>
        <w:rPr>
          <w:rFonts w:ascii="Times New Roman" w:hAnsi="Times New Roman" w:eastAsia="宋体"/>
          <w:color w:val="auto"/>
          <w:sz w:val="24"/>
          <w:szCs w:val="24"/>
        </w:rPr>
        <w:t>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13.</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生产部：0598-5658397</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投标报价表</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3：生产经营现场虫害防治服务协议主要条款（注：有意向参与投标的单位可联系招标办获取）</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right"/>
        <w:textAlignment w:val="auto"/>
        <w:rPr>
          <w:rFonts w:ascii="Times New Roman" w:hAnsi="Times New Roman" w:eastAsia="宋体"/>
          <w:bCs/>
          <w:color w:val="auto"/>
          <w:sz w:val="24"/>
          <w:szCs w:val="24"/>
          <w:lang w:val="en-US"/>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23</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spacing w:line="360" w:lineRule="auto"/>
        <w:jc w:val="left"/>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1：</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default" w:ascii="Times New Roman" w:hAnsi="Times New Roman" w:eastAsia="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outlineLvl w:val="9"/>
        <w:rPr>
          <w:rFonts w:ascii="Times New Roman" w:hAnsi="Times New Roman" w:eastAsia="宋体"/>
          <w:b/>
          <w:sz w:val="28"/>
          <w:szCs w:val="28"/>
        </w:rPr>
      </w:pPr>
      <w:r>
        <w:rPr>
          <w:rFonts w:hint="eastAsia" w:ascii="Times New Roman" w:hAnsi="Times New Roman" w:eastAsia="宋体"/>
          <w:b/>
          <w:spacing w:val="23"/>
          <w:sz w:val="28"/>
          <w:szCs w:val="28"/>
        </w:rPr>
        <w:t>投标报价表</w:t>
      </w:r>
    </w:p>
    <w:p>
      <w:pPr>
        <w:keepNext w:val="0"/>
        <w:keepLines w:val="0"/>
        <w:pageBreakBefore w:val="0"/>
        <w:widowControl w:val="0"/>
        <w:kinsoku/>
        <w:wordWrap/>
        <w:overflowPunct/>
        <w:topLinePunct w:val="0"/>
        <w:autoSpaceDE/>
        <w:autoSpaceDN/>
        <w:bidi w:val="0"/>
        <w:adjustRightInd/>
        <w:snapToGrid/>
        <w:spacing w:before="157" w:beforeLines="50" w:line="430" w:lineRule="exact"/>
        <w:ind w:firstLine="0" w:firstLineChars="0"/>
        <w:jc w:val="center"/>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rPr>
        <w:t>项目名称：生产经营现场虫害防治服务</w:t>
      </w:r>
      <w:r>
        <w:rPr>
          <w:rFonts w:hint="eastAsia" w:ascii="Times New Roman" w:hAnsi="Times New Roman" w:eastAsia="宋体"/>
          <w:sz w:val="24"/>
          <w:szCs w:val="24"/>
          <w:lang w:val="en-US" w:eastAsia="zh-CN"/>
        </w:rPr>
        <w:t xml:space="preserve">     </w:t>
      </w:r>
      <w:r>
        <w:rPr>
          <w:rFonts w:hint="eastAsia" w:ascii="Times New Roman" w:hAnsi="Times New Roman"/>
          <w:sz w:val="24"/>
          <w:szCs w:val="24"/>
          <w:lang w:val="en-US" w:eastAsia="zh-CN"/>
        </w:rPr>
        <w:t>　　　　　</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lang w:eastAsia="zh-CN"/>
        </w:rPr>
        <w:t>招标</w:t>
      </w:r>
      <w:r>
        <w:rPr>
          <w:rFonts w:hint="eastAsia" w:ascii="Times New Roman" w:hAnsi="Times New Roman" w:eastAsia="宋体"/>
          <w:sz w:val="24"/>
          <w:szCs w:val="24"/>
        </w:rPr>
        <w:t>编号：20</w:t>
      </w:r>
      <w:r>
        <w:rPr>
          <w:rFonts w:hint="eastAsia" w:ascii="Times New Roman" w:hAnsi="Times New Roman" w:eastAsia="宋体"/>
          <w:sz w:val="24"/>
          <w:szCs w:val="24"/>
          <w:lang w:val="en-US" w:eastAsia="zh-CN"/>
        </w:rPr>
        <w:t>23</w:t>
      </w:r>
      <w:r>
        <w:rPr>
          <w:rFonts w:hint="eastAsia" w:ascii="Times New Roman" w:hAnsi="Times New Roman" w:eastAsia="宋体"/>
          <w:sz w:val="24"/>
          <w:szCs w:val="24"/>
        </w:rPr>
        <w:t>SC</w:t>
      </w:r>
      <w:r>
        <w:rPr>
          <w:rFonts w:hint="eastAsia" w:ascii="Times New Roman" w:hAnsi="Times New Roman" w:eastAsia="宋体"/>
          <w:sz w:val="24"/>
          <w:szCs w:val="24"/>
          <w:lang w:val="en-US" w:eastAsia="zh-CN"/>
        </w:rPr>
        <w:t>099</w:t>
      </w:r>
      <w:r>
        <w:rPr>
          <w:rFonts w:hint="eastAsia" w:ascii="Times New Roman" w:hAnsi="Times New Roman"/>
          <w:sz w:val="24"/>
          <w:szCs w:val="24"/>
          <w:lang w:val="en-US" w:eastAsia="zh-CN"/>
        </w:rPr>
        <w:t>C</w:t>
      </w:r>
      <w:bookmarkStart w:id="0" w:name="_GoBack"/>
      <w:bookmarkEnd w:id="0"/>
    </w:p>
    <w:tbl>
      <w:tblPr>
        <w:tblStyle w:val="11"/>
        <w:tblW w:w="92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47"/>
        <w:gridCol w:w="4478"/>
        <w:gridCol w:w="1770"/>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59"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序号</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服务地点</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lang w:eastAsia="zh-CN"/>
              </w:rPr>
              <w:t>报</w:t>
            </w:r>
            <w:r>
              <w:rPr>
                <w:rFonts w:hint="eastAsia" w:ascii="Times New Roman" w:hAnsi="Times New Roman" w:eastAsia="宋体"/>
                <w:szCs w:val="21"/>
              </w:rPr>
              <w:t>价（元/月）</w:t>
            </w:r>
          </w:p>
        </w:tc>
        <w:tc>
          <w:tcPr>
            <w:tcW w:w="2039"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Times New Roman" w:hAnsi="Times New Roman" w:eastAsia="宋体"/>
                <w:szCs w:val="21"/>
                <w:lang w:eastAsia="zh-CN"/>
              </w:rPr>
            </w:pPr>
            <w:r>
              <w:rPr>
                <w:rFonts w:hint="eastAsia" w:ascii="Times New Roman" w:hAnsi="Times New Roman" w:eastAsia="宋体"/>
                <w:szCs w:val="21"/>
                <w:lang w:eastAsia="zh-CN"/>
              </w:rPr>
              <w:t>总报价</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Times New Roman" w:hAnsi="Times New Roman" w:eastAsia="宋体"/>
                <w:szCs w:val="21"/>
                <w:lang w:eastAsia="zh-CN"/>
              </w:rPr>
            </w:pPr>
            <w:r>
              <w:rPr>
                <w:rFonts w:hint="eastAsia" w:ascii="Times New Roman" w:hAnsi="Times New Roman" w:eastAsia="宋体"/>
                <w:szCs w:val="21"/>
                <w:lang w:val="en-US" w:eastAsia="zh-CN"/>
              </w:rPr>
              <w:t>(</w:t>
            </w:r>
            <w:r>
              <w:rPr>
                <w:rFonts w:hint="eastAsia" w:ascii="Times New Roman" w:hAnsi="Times New Roman" w:eastAsia="宋体"/>
                <w:szCs w:val="21"/>
                <w:lang w:eastAsia="zh-CN"/>
              </w:rPr>
              <w:t>元，按</w:t>
            </w:r>
            <w:r>
              <w:rPr>
                <w:rFonts w:hint="eastAsia" w:ascii="Times New Roman" w:hAnsi="Times New Roman" w:eastAsia="宋体"/>
                <w:szCs w:val="21"/>
                <w:lang w:val="en-US" w:eastAsia="zh-CN"/>
              </w:rPr>
              <w:t>24个月计算)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1</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szCs w:val="21"/>
              </w:rPr>
            </w:pPr>
            <w:r>
              <w:rPr>
                <w:rFonts w:hint="eastAsia" w:ascii="Times New Roman" w:hAnsi="Times New Roman" w:eastAsia="宋体"/>
                <w:szCs w:val="21"/>
                <w:lang w:eastAsia="zh-CN"/>
              </w:rPr>
              <w:t>板纸事业部</w:t>
            </w:r>
            <w:r>
              <w:rPr>
                <w:rFonts w:hint="eastAsia" w:ascii="Times New Roman" w:hAnsi="Times New Roman" w:eastAsia="宋体"/>
                <w:szCs w:val="21"/>
              </w:rPr>
              <w:t>2#纸机生产线</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restart"/>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2</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dstrike/>
                <w:color w:val="FF0000"/>
                <w:szCs w:val="21"/>
              </w:rPr>
            </w:pPr>
            <w:r>
              <w:rPr>
                <w:rFonts w:hint="eastAsia" w:ascii="Times New Roman" w:hAnsi="Times New Roman" w:eastAsia="宋体"/>
                <w:szCs w:val="21"/>
              </w:rPr>
              <w:t>销售部食品纸仓库</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continue"/>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3</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Times New Roman" w:hAnsi="Times New Roman" w:eastAsia="宋体"/>
                <w:szCs w:val="21"/>
              </w:rPr>
            </w:pPr>
            <w:r>
              <w:rPr>
                <w:rFonts w:hint="eastAsia" w:ascii="Times New Roman" w:hAnsi="Times New Roman" w:eastAsia="宋体"/>
                <w:szCs w:val="21"/>
              </w:rPr>
              <w:t>销售部浆／纸产品所有仓库(含库外堆放点)</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szCs w:val="21"/>
              </w:rPr>
            </w:pPr>
            <w:r>
              <w:rPr>
                <w:rFonts w:hint="eastAsia" w:ascii="Times New Roman" w:hAnsi="Times New Roman" w:eastAsia="宋体"/>
                <w:szCs w:val="21"/>
              </w:rPr>
              <w:t>约26499平方米(供参考)</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continue"/>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51"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4</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szCs w:val="21"/>
              </w:rPr>
            </w:pPr>
            <w:r>
              <w:rPr>
                <w:rFonts w:hint="eastAsia" w:ascii="Times New Roman" w:hAnsi="Times New Roman" w:eastAsia="宋体"/>
                <w:szCs w:val="21"/>
              </w:rPr>
              <w:t>供应部原料库</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continue"/>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90" w:hRule="atLeast"/>
          <w:jc w:val="center"/>
        </w:trPr>
        <w:tc>
          <w:tcPr>
            <w:tcW w:w="947"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r>
              <w:rPr>
                <w:rFonts w:hint="eastAsia" w:ascii="Times New Roman" w:hAnsi="Times New Roman" w:eastAsia="宋体"/>
                <w:szCs w:val="21"/>
              </w:rPr>
              <w:t>5</w:t>
            </w:r>
          </w:p>
        </w:tc>
        <w:tc>
          <w:tcPr>
            <w:tcW w:w="4478"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Times New Roman" w:hAnsi="Times New Roman" w:eastAsia="宋体"/>
                <w:color w:val="000000"/>
                <w:szCs w:val="21"/>
              </w:rPr>
            </w:pPr>
            <w:r>
              <w:rPr>
                <w:rFonts w:hint="eastAsia" w:ascii="Times New Roman" w:hAnsi="Times New Roman" w:eastAsia="宋体"/>
                <w:color w:val="000000"/>
                <w:szCs w:val="21"/>
              </w:rPr>
              <w:t>供应部工艺备品仓库</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ascii="Times New Roman" w:hAnsi="Times New Roman" w:eastAsia="宋体"/>
                <w:szCs w:val="21"/>
              </w:rPr>
            </w:pPr>
            <w:r>
              <w:rPr>
                <w:rFonts w:hint="eastAsia" w:ascii="Times New Roman" w:hAnsi="Times New Roman" w:eastAsia="宋体"/>
                <w:color w:val="000000"/>
                <w:szCs w:val="21"/>
              </w:rPr>
              <w:t>约1000平方米(供参考)</w:t>
            </w:r>
          </w:p>
        </w:tc>
        <w:tc>
          <w:tcPr>
            <w:tcW w:w="1770" w:type="dxa"/>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c>
          <w:tcPr>
            <w:tcW w:w="2039" w:type="dxa"/>
            <w:vMerge w:val="continue"/>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744" w:hRule="atLeast"/>
          <w:jc w:val="center"/>
        </w:trPr>
        <w:tc>
          <w:tcPr>
            <w:tcW w:w="9234" w:type="dxa"/>
            <w:gridSpan w:val="4"/>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outlineLvl w:val="9"/>
              <w:rPr>
                <w:rFonts w:ascii="Times New Roman" w:hAnsi="Times New Roman" w:eastAsia="宋体"/>
                <w:szCs w:val="21"/>
              </w:rPr>
            </w:pPr>
            <w:r>
              <w:rPr>
                <w:rFonts w:hint="eastAsia" w:ascii="Times New Roman" w:hAnsi="Times New Roman" w:eastAsia="宋体"/>
                <w:szCs w:val="21"/>
                <w:lang w:eastAsia="zh-CN"/>
              </w:rPr>
              <w:t>　　注</w:t>
            </w:r>
            <w:r>
              <w:rPr>
                <w:rFonts w:hint="eastAsia" w:ascii="Times New Roman" w:hAnsi="Times New Roman" w:eastAsia="宋体"/>
                <w:szCs w:val="21"/>
              </w:rPr>
              <w:t>：报价为含</w:t>
            </w:r>
            <w:r>
              <w:rPr>
                <w:rFonts w:hint="eastAsia" w:ascii="Times New Roman" w:hAnsi="Times New Roman" w:eastAsia="宋体"/>
                <w:szCs w:val="21"/>
                <w:lang w:val="en-US" w:eastAsia="zh-CN"/>
              </w:rPr>
              <w:t>6%增值</w:t>
            </w:r>
            <w:r>
              <w:rPr>
                <w:rFonts w:hint="eastAsia" w:ascii="Times New Roman" w:hAnsi="Times New Roman" w:eastAsia="宋体"/>
                <w:szCs w:val="21"/>
              </w:rPr>
              <w:t>税</w:t>
            </w:r>
            <w:r>
              <w:rPr>
                <w:rFonts w:hint="eastAsia" w:ascii="Times New Roman" w:hAnsi="Times New Roman" w:eastAsia="宋体"/>
                <w:szCs w:val="21"/>
                <w:lang w:eastAsia="zh-CN"/>
              </w:rPr>
              <w:t>价格</w:t>
            </w:r>
            <w:r>
              <w:rPr>
                <w:rFonts w:hint="eastAsia" w:ascii="Times New Roman" w:hAnsi="Times New Roman" w:eastAsia="宋体"/>
                <w:szCs w:val="21"/>
              </w:rPr>
              <w:t>，包含服务人员的食宿、</w:t>
            </w:r>
            <w:r>
              <w:rPr>
                <w:rFonts w:hint="eastAsia" w:ascii="Times New Roman" w:hAnsi="Times New Roman" w:eastAsia="宋体"/>
                <w:szCs w:val="21"/>
                <w:lang w:eastAsia="zh-CN"/>
              </w:rPr>
              <w:t>差旅</w:t>
            </w:r>
            <w:r>
              <w:rPr>
                <w:rFonts w:hint="eastAsia" w:ascii="Times New Roman" w:hAnsi="Times New Roman" w:eastAsia="宋体"/>
                <w:szCs w:val="21"/>
              </w:rPr>
              <w:t>费、设备租赁、防虫药品、安全等各项费用。</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hint="eastAsia"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投</w:t>
      </w:r>
      <w:r>
        <w:rPr>
          <w:rFonts w:ascii="Times New Roman" w:hAnsi="Times New Roman" w:eastAsia="宋体"/>
          <w:sz w:val="24"/>
          <w:szCs w:val="24"/>
        </w:rPr>
        <w:t>标人：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r>
        <w:rPr>
          <w:rFonts w:ascii="Times New Roman" w:hAnsi="Times New Roman" w:eastAsia="宋体"/>
          <w:sz w:val="24"/>
          <w:szCs w:val="24"/>
        </w:rPr>
        <w:t>（盖章）</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投标人代表：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（法定代表人或被授权人签名或</w:t>
      </w:r>
      <w:r>
        <w:rPr>
          <w:rFonts w:hint="eastAsia" w:ascii="Times New Roman" w:hAnsi="Times New Roman" w:eastAsia="宋体"/>
          <w:sz w:val="24"/>
          <w:szCs w:val="24"/>
          <w:lang w:eastAsia="zh-CN"/>
        </w:rPr>
        <w:t>签</w:t>
      </w:r>
      <w:r>
        <w:rPr>
          <w:rFonts w:hint="eastAsia" w:ascii="Times New Roman" w:hAnsi="Times New Roman" w:eastAsia="宋体"/>
          <w:sz w:val="24"/>
          <w:szCs w:val="24"/>
        </w:rPr>
        <w:t>章）</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9"/>
        <w:rPr>
          <w:rFonts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eastAsia="zh-CN"/>
        </w:rPr>
        <w:t>日期</w:t>
      </w:r>
      <w:r>
        <w:rPr>
          <w:rFonts w:hint="eastAsia" w:ascii="Times New Roman" w:hAnsi="Times New Roman" w:eastAsia="宋体"/>
          <w:sz w:val="24"/>
          <w:szCs w:val="24"/>
        </w:rPr>
        <w:t>：　</w:t>
      </w:r>
      <w:r>
        <w:rPr>
          <w:rFonts w:hint="eastAsia" w:ascii="Times New Roman" w:hAnsi="Times New Roman" w:eastAsia="宋体"/>
          <w:sz w:val="24"/>
          <w:szCs w:val="24"/>
          <w:lang w:eastAsia="zh-CN"/>
        </w:rPr>
        <w:t>　</w:t>
      </w:r>
      <w:r>
        <w:rPr>
          <w:rFonts w:hint="eastAsia" w:ascii="Times New Roman" w:hAnsi="Times New Roman" w:eastAsia="宋体"/>
          <w:sz w:val="24"/>
          <w:szCs w:val="24"/>
        </w:rPr>
        <w:t>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3SC099C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2023-05-23T02:54:15Z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