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机复卷机前底辊传动电机改造</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3.1数量：传动变频电机  壹台。</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3.2因原有的电机联轴器、电机基础</w:t>
      </w:r>
      <w:bookmarkStart w:id="0" w:name="_GoBack"/>
      <w:bookmarkEnd w:id="0"/>
      <w:r>
        <w:rPr>
          <w:rFonts w:hint="eastAsia" w:ascii="Times New Roman" w:hAnsi="Times New Roman" w:eastAsia="宋体"/>
          <w:b w:val="0"/>
          <w:bCs/>
          <w:color w:val="auto"/>
          <w:sz w:val="24"/>
          <w:szCs w:val="24"/>
          <w:lang w:val="en-US" w:eastAsia="zh-CN"/>
        </w:rPr>
        <w:t>利旧，因此本次采购的传动变频电机，投标方应保证所提供的产品的性能参数、结构型式、连接方式、机座号、安装尺寸必须与青山纸业提供的参数符合（详见电机附图），且能满足生产和现场安装要求，不得改变原有的安装形式。电机参考采用ABB、SIEMENS、湘潭电机股份有限公司、上海电气集团上海电机厂有限公司或同等档次及以上品牌电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（1）电机参数：额定功率：315KW；电机极数：6极；电机电压：690V；变频：5-60HZ；</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（2）绝缘等级：F级；温升等级：B；冷却方式：IC411；防护等级：IP55；能效等级：IE2；安装方式：B3。</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（3）轴承：要求采用SKF、NSK等知名品牌轴承，非驱动端使用SKF、NSK等知名品牌绝缘轴承。</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（4）配编码器壹个并安装，带脉冲编码器固定轴；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脉冲编码器参数： 861007455-2048、9-30V DC、2048ppr。</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（5）电机每相绕组配置两路PTC测温电阻，前后轴承各配置一路PT100测温电阻，测温电阻的引出接线盒要求防水型。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（6）电机接线盒必须为上接线盒并带电缆盒。</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（7）提供的电机必须是原装正品，投标人应在投标文件中做出书面承诺并在交货时提供相关证明手续，如发现提供的材料作假，我方有权要求退货并且终止合同，由此带来的一切经济损失由投标方承担。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（8）电机安装尺寸图见附图。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本招标文件中提及的品牌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.1应是具有独立法人资格、有能力提供货物及服务、信用良好的企业，具有履行合同所必需的设备和专业技术能力。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5.2</w:t>
      </w:r>
      <w:r>
        <w:rPr>
          <w:rFonts w:hint="eastAsia" w:ascii="Times New Roman" w:hAnsi="Times New Roman" w:eastAsia="宋体"/>
          <w:b w:val="0"/>
          <w:bCs w:val="0"/>
          <w:color w:val="auto"/>
          <w:sz w:val="24"/>
          <w:szCs w:val="24"/>
          <w:lang w:eastAsia="zh-CN"/>
        </w:rPr>
        <w:t>中间商需出具制造厂商正式授权书。</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w:t>
      </w:r>
      <w:r>
        <w:rPr>
          <w:rFonts w:hint="default" w:ascii="Times New Roman" w:hAnsi="Times New Roman" w:eastAsia="宋体"/>
          <w:b w:val="0"/>
          <w:bCs w:val="0"/>
          <w:color w:val="auto"/>
          <w:sz w:val="24"/>
          <w:szCs w:val="24"/>
          <w:lang w:val="en-US" w:eastAsia="zh-CN"/>
        </w:rPr>
        <w:t>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w:t>
      </w:r>
      <w:r>
        <w:rPr>
          <w:rFonts w:hint="default" w:ascii="Times New Roman" w:hAnsi="Times New Roman" w:eastAsia="宋体"/>
          <w:b w:val="0"/>
          <w:bCs w:val="0"/>
          <w:color w:val="auto"/>
          <w:sz w:val="24"/>
          <w:szCs w:val="24"/>
          <w:lang w:val="en-US" w:eastAsia="zh-CN"/>
        </w:rPr>
        <w:t>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w:t>
      </w:r>
      <w:r>
        <w:rPr>
          <w:rFonts w:hint="default" w:ascii="Times New Roman" w:hAnsi="Times New Roman" w:eastAsia="宋体"/>
          <w:b w:val="0"/>
          <w:bCs w:val="0"/>
          <w:color w:val="auto"/>
          <w:sz w:val="24"/>
          <w:szCs w:val="24"/>
          <w:lang w:val="en-US" w:eastAsia="zh-CN"/>
        </w:rPr>
        <w:t>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7.1</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.2质量保证期内非招标方原因引起的质量问题，中标方负责无偿返修，中标方未在招标方规定的时间内返修，招标方有权选择其它供应商进行返修，返修费用由中标方承担。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：不支付预付款，验收合格后，招标方财务部收到全额13%增值税专用发票45天支付总合同价的90%（银行承兑汇票）；质量保证金为总合同价的10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，在质量保证期满后三十天内付清，质保金不计利息。</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①技术性能、制造水平及产品特点：30分；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①品牌业绩：2分；1分/份合同（以投标人三年内合同复印件为准），封顶2分；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②10%质保金：接受的得1分，不接受的得0分；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③预付方式：3分，招标人不接受预付款。</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应结未付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条技术评审打分项的响应材料，必须有说明产品的型号、参数和配置的详细描述）</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技术联系人：板纸事业部-李建桥13950902578、板纸事业部-付卫平13799185283、设备部-</w:t>
      </w:r>
      <w:r>
        <w:rPr>
          <w:rFonts w:hint="eastAsia" w:ascii="Times New Roman" w:hAnsi="Times New Roman" w:eastAsia="宋体"/>
          <w:color w:val="auto"/>
          <w:sz w:val="24"/>
          <w:szCs w:val="24"/>
          <w:lang w:eastAsia="zh-CN"/>
        </w:rPr>
        <w:t>杨工0598-5655019</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附件1：电机安装尺寸图（注：有意向参与投标的单位可联系招标办获取）</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3SB097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651D45"/>
    <w:rsid w:val="0BD679A8"/>
    <w:rsid w:val="0C992A98"/>
    <w:rsid w:val="0CFD2526"/>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4E241562"/>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433EA7"/>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2023-05-08T09:28:18Z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