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：浆粕分厂干燥加热器</w:t>
      </w:r>
      <w:r>
        <w:rPr>
          <w:rFonts w:hint="eastAsia" w:ascii="Times New Roman" w:hAnsi="Times New Roman" w:eastAsia="宋体"/>
          <w:color w:val="auto"/>
          <w:sz w:val="24"/>
          <w:szCs w:val="24"/>
          <w:lang w:eastAsia="zh-CN"/>
        </w:rPr>
        <w:t>采购</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2.1招标内容：</w:t>
      </w:r>
    </w:p>
    <w:tbl>
      <w:tblPr>
        <w:tblStyle w:val="12"/>
        <w:tblW w:w="91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4136"/>
        <w:gridCol w:w="1408"/>
        <w:gridCol w:w="1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208"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vertAlign w:val="baseline"/>
                <w:lang w:val="en-US" w:eastAsia="zh-CN"/>
              </w:rPr>
            </w:pPr>
            <w:r>
              <w:rPr>
                <w:rFonts w:hint="eastAsia" w:ascii="Times New Roman" w:hAnsi="Times New Roman" w:eastAsia="宋体" w:cs="宋体"/>
                <w:sz w:val="21"/>
                <w:szCs w:val="21"/>
                <w:vertAlign w:val="baseline"/>
                <w:lang w:val="en-US" w:eastAsia="zh-CN"/>
              </w:rPr>
              <w:t>物资名称</w:t>
            </w:r>
          </w:p>
        </w:tc>
        <w:tc>
          <w:tcPr>
            <w:tcW w:w="4136"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vertAlign w:val="baseline"/>
                <w:lang w:val="en-US" w:eastAsia="zh-CN"/>
              </w:rPr>
            </w:pPr>
            <w:r>
              <w:rPr>
                <w:rFonts w:hint="eastAsia" w:ascii="Times New Roman" w:hAnsi="Times New Roman" w:eastAsia="宋体" w:cs="宋体"/>
                <w:sz w:val="21"/>
                <w:szCs w:val="21"/>
                <w:vertAlign w:val="baseline"/>
                <w:lang w:val="en-US" w:eastAsia="zh-CN"/>
              </w:rPr>
              <w:t>规格型号</w:t>
            </w:r>
          </w:p>
        </w:tc>
        <w:tc>
          <w:tcPr>
            <w:tcW w:w="1408"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vertAlign w:val="baseline"/>
                <w:lang w:val="en-US" w:eastAsia="zh-CN"/>
              </w:rPr>
            </w:pPr>
            <w:r>
              <w:rPr>
                <w:rFonts w:hint="eastAsia" w:ascii="Times New Roman" w:hAnsi="Times New Roman" w:eastAsia="宋体" w:cs="宋体"/>
                <w:sz w:val="21"/>
                <w:szCs w:val="21"/>
                <w:vertAlign w:val="baseline"/>
                <w:lang w:val="en-US" w:eastAsia="zh-CN"/>
              </w:rPr>
              <w:t>材质</w:t>
            </w:r>
          </w:p>
        </w:tc>
        <w:tc>
          <w:tcPr>
            <w:tcW w:w="1402"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vertAlign w:val="baseline"/>
                <w:lang w:val="en-US" w:eastAsia="zh-CN"/>
              </w:rPr>
            </w:pPr>
            <w:r>
              <w:rPr>
                <w:rFonts w:hint="eastAsia" w:ascii="Times New Roman" w:hAnsi="Times New Roman" w:eastAsia="宋体" w:cs="宋体"/>
                <w:sz w:val="21"/>
                <w:szCs w:val="21"/>
                <w:vertAlign w:val="baseli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2208"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sz w:val="21"/>
                <w:szCs w:val="21"/>
                <w:shd w:val="clear" w:color="auto" w:fill="auto"/>
                <w:vertAlign w:val="baseline"/>
                <w:lang w:val="en-US" w:eastAsia="zh-CN"/>
              </w:rPr>
              <w:t>干燥加热器（大）</w:t>
            </w:r>
          </w:p>
        </w:tc>
        <w:tc>
          <w:tcPr>
            <w:tcW w:w="4136"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sz w:val="21"/>
                <w:szCs w:val="21"/>
                <w:lang w:val="en-US" w:eastAsia="zh-CN"/>
              </w:rPr>
              <w:t>按图制作【图号：QLBF-260-120，外形尺寸：2930x1320x170，详见附件1】</w:t>
            </w:r>
          </w:p>
        </w:tc>
        <w:tc>
          <w:tcPr>
            <w:tcW w:w="1408"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jc w:val="center"/>
              <w:textAlignment w:val="auto"/>
              <w:rPr>
                <w:rFonts w:hint="eastAsia" w:ascii="Times New Roman" w:hAnsi="Times New Roman" w:eastAsia="宋体" w:cs="宋体"/>
                <w:sz w:val="21"/>
                <w:szCs w:val="21"/>
                <w:shd w:val="clear" w:color="auto" w:fill="auto"/>
                <w:vertAlign w:val="baseline"/>
                <w:lang w:val="en-US" w:eastAsia="zh-CN"/>
              </w:rPr>
            </w:pPr>
          </w:p>
        </w:tc>
        <w:tc>
          <w:tcPr>
            <w:tcW w:w="1402" w:type="dxa"/>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210" w:firstLineChars="100"/>
              <w:jc w:val="center"/>
              <w:textAlignment w:val="auto"/>
              <w:rPr>
                <w:rFonts w:hint="eastAsia" w:ascii="Times New Roman" w:hAnsi="Times New Roman" w:eastAsia="宋体" w:cs="宋体"/>
                <w:sz w:val="21"/>
                <w:szCs w:val="21"/>
                <w:shd w:val="clear" w:color="auto" w:fill="auto"/>
                <w:vertAlign w:val="baseline"/>
                <w:lang w:val="en-US" w:eastAsia="zh-CN"/>
              </w:rPr>
            </w:pPr>
            <w:r>
              <w:rPr>
                <w:rFonts w:hint="eastAsia" w:ascii="Times New Roman" w:hAnsi="Times New Roman" w:eastAsia="宋体" w:cs="宋体"/>
                <w:sz w:val="21"/>
                <w:szCs w:val="21"/>
                <w:shd w:val="clear" w:color="auto" w:fill="auto"/>
                <w:vertAlign w:val="baseline"/>
                <w:lang w:val="en-US" w:eastAsia="zh-CN"/>
              </w:rPr>
              <w:t>10件</w:t>
            </w:r>
          </w:p>
        </w:tc>
      </w:tr>
    </w:tbl>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2.2技术质量要求：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2.2.1散热器管、蒸汽出口管材料为紫铜，牌号T2且散热管外套上铝片（散热片：厚0.25，间隔1.5）以增大散热面积；</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2.2.2最大工作压力1.6Mpa 、最大工作温度225℃ 、试验压力2.1Mpa 、 体积0.036m³、重量246kg；</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2.2.3支架周边固定及加强筋（钢板厚度2mm，镀锌）由厂家设定。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2.2.4外形图中的有注明“加装碳钢法兰DN40 PN16，法兰尺寸规格参照JB/T81-1994，特别是螺栓中心圆ø110及螺栓孔4-ø18安装尺寸不能改变”，需严格按图制作。</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2.2.5中标方交货时要出具紫铜产品质量证明书及加热器产品检验报告。</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2.2.6备件保证尺寸上百分百无误差安装，材质完全满足现场使用。</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3.1交货时间：投标时须注明最短交货期。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3.2交货地点：福建省三明市沙县区青州镇青山纸业公司设备库或指定生产区域内。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4.1投标人应是具有独立法人资格、有能力提供货物及服务、信用良好的企业。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4.2具有履行合同所必需的设备和专业技术能力。【提供声明函，格式见附件</w:t>
      </w:r>
      <w:r>
        <w:rPr>
          <w:rFonts w:hint="eastAsia" w:ascii="Times New Roman" w:hAnsi="Times New Roman" w:eastAsia="宋体"/>
          <w:b w:val="0"/>
          <w:bCs w:val="0"/>
          <w:color w:val="auto"/>
          <w:sz w:val="24"/>
          <w:szCs w:val="24"/>
          <w:lang w:val="en-US" w:eastAsia="zh-CN"/>
        </w:rPr>
        <w:t>2</w:t>
      </w:r>
      <w:r>
        <w:rPr>
          <w:rFonts w:hint="eastAsia" w:ascii="Times New Roman" w:hAnsi="Times New Roman" w:eastAsia="宋体"/>
          <w:b w:val="0"/>
          <w:bCs w:val="0"/>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4.3代理商投标的，投标人还应具备其代理的产品制造商的正式授权书。</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default"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5.</w:t>
      </w:r>
      <w:r>
        <w:rPr>
          <w:rFonts w:hint="default" w:ascii="Times New Roman" w:hAnsi="Times New Roman" w:eastAsia="宋体"/>
          <w:b/>
          <w:bCs/>
          <w:color w:val="auto"/>
          <w:sz w:val="24"/>
          <w:szCs w:val="24"/>
          <w:lang w:val="en-US" w:eastAsia="zh-CN"/>
        </w:rPr>
        <w:t>双方职责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5.1中标方负责备件的运输，凡备件到招标方之前所产生的费用及意外损失由中标方负责承担。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5.2中标方对其所供标的物的质量、性能和运行可靠性负责。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5.3招标方根据合同要求及标的物的使用情况履行相关义务。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default" w:ascii="Times New Roman" w:hAnsi="Times New Roman" w:eastAsia="宋体"/>
          <w:b w:val="0"/>
          <w:bCs w:val="0"/>
          <w:color w:val="auto"/>
          <w:sz w:val="24"/>
          <w:szCs w:val="24"/>
          <w:lang w:val="en-US" w:eastAsia="zh-CN"/>
        </w:rPr>
        <w:t>5.4中标并签订合同后，</w:t>
      </w:r>
      <w:r>
        <w:rPr>
          <w:rFonts w:hint="eastAsia" w:ascii="Times New Roman" w:hAnsi="Times New Roman" w:eastAsia="宋体"/>
          <w:b w:val="0"/>
          <w:bCs w:val="0"/>
          <w:color w:val="auto"/>
          <w:sz w:val="24"/>
          <w:szCs w:val="24"/>
          <w:lang w:val="en-US" w:eastAsia="zh-CN"/>
        </w:rPr>
        <w:t>中标方</w:t>
      </w:r>
      <w:r>
        <w:rPr>
          <w:rFonts w:hint="default" w:ascii="Times New Roman" w:hAnsi="Times New Roman" w:eastAsia="宋体"/>
          <w:b w:val="0"/>
          <w:bCs w:val="0"/>
          <w:color w:val="auto"/>
          <w:sz w:val="24"/>
          <w:szCs w:val="24"/>
          <w:lang w:val="en-US" w:eastAsia="zh-CN"/>
        </w:rPr>
        <w:t>不能按时履约必须支付违约金为合同总额的10%，其余按《招投标法》、《中华人民共和国民法典》等相关法律法规执行。</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color w:val="auto"/>
          <w:sz w:val="24"/>
          <w:szCs w:val="24"/>
          <w:lang w:val="en-US" w:eastAsia="zh-CN"/>
        </w:rPr>
        <w:t>6.验收标准</w:t>
      </w:r>
      <w:r>
        <w:rPr>
          <w:rFonts w:hint="eastAsia" w:ascii="Times New Roman" w:hAnsi="Times New Roman" w:eastAsia="宋体"/>
          <w:b w:val="0"/>
          <w:bCs/>
          <w:color w:val="auto"/>
          <w:sz w:val="24"/>
          <w:szCs w:val="24"/>
          <w:lang w:val="en-US" w:eastAsia="zh-CN"/>
        </w:rPr>
        <w:t>：备件按图、按企业标准和中国国家标准进行验收。</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lang w:eastAsia="zh-CN"/>
        </w:rPr>
        <w:t>.1质量保证期为自设备验收合格之日起12个月或货到18个月（以时间先到为准），投标人可承诺更长的质保期。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7</w:t>
      </w:r>
      <w:r>
        <w:rPr>
          <w:rFonts w:hint="eastAsia" w:ascii="Times New Roman" w:hAnsi="Times New Roman" w:eastAsia="宋体"/>
          <w:b w:val="0"/>
          <w:bCs/>
          <w:color w:val="auto"/>
          <w:sz w:val="24"/>
          <w:szCs w:val="24"/>
          <w:lang w:eastAsia="zh-CN"/>
        </w:rPr>
        <w:t>.2质量保证期内非买方原因引起的质量问题，中标方负责无偿返修，中标方未在买方规定的时间内返修，招标方有权选择其它供应商进行返修，返修费用由中标方承担。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不支付预付款，货到验收合格后，招标人财务部收到全额增值税专用发票45天支付总合同价的90%（银行电子承兑汇票）；质保金为总合同价的10%，在质保期满后无质量问题三十天内付清，质保金不计利息。中标人需开具13%增值税专用发票。【</w:t>
      </w:r>
      <w:r>
        <w:rPr>
          <w:rFonts w:hint="eastAsia" w:ascii="Times New Roman" w:hAnsi="Times New Roman" w:eastAsia="宋体"/>
          <w:b/>
          <w:bCs w:val="0"/>
          <w:color w:val="auto"/>
          <w:sz w:val="24"/>
          <w:szCs w:val="24"/>
          <w:lang w:eastAsia="zh-CN"/>
        </w:rPr>
        <w:t>本付款方式不得偏离，否则投标将被否决</w:t>
      </w:r>
      <w:r>
        <w:rPr>
          <w:rFonts w:hint="eastAsia" w:ascii="Times New Roman" w:hAnsi="Times New Roman" w:eastAsia="宋体"/>
          <w:b w:val="0"/>
          <w:bCs/>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9.1</w:t>
      </w:r>
      <w:r>
        <w:rPr>
          <w:rFonts w:ascii="Times New Roman" w:hAnsi="Times New Roman" w:eastAsia="宋体"/>
          <w:color w:val="auto"/>
          <w:sz w:val="24"/>
          <w:szCs w:val="24"/>
        </w:rPr>
        <w:t>本次招标</w:t>
      </w:r>
      <w:r>
        <w:rPr>
          <w:rFonts w:hint="eastAsia" w:ascii="Times New Roman" w:hAnsi="Times New Roman" w:eastAsia="宋体"/>
          <w:color w:val="auto"/>
          <w:sz w:val="24"/>
          <w:szCs w:val="24"/>
          <w:lang w:eastAsia="zh-CN"/>
        </w:rPr>
        <w:t>原则上</w:t>
      </w:r>
      <w:r>
        <w:rPr>
          <w:rFonts w:ascii="Times New Roman" w:hAnsi="Times New Roman" w:eastAsia="宋体"/>
          <w:color w:val="auto"/>
          <w:sz w:val="24"/>
          <w:szCs w:val="24"/>
        </w:rPr>
        <w:t>采取一次性报价方式。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2报价为含13%增值税到厂价格，以一票制方式结算</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979"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289"/>
        <w:gridCol w:w="735"/>
        <w:gridCol w:w="6246"/>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÷AD×40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35</w:t>
            </w:r>
            <w:r>
              <w:rPr>
                <w:rFonts w:ascii="Times New Roman" w:hAnsi="Times New Roman" w:eastAsia="宋体" w:cs="Times New Roman"/>
                <w:color w:val="auto"/>
                <w:kern w:val="0"/>
                <w:szCs w:val="21"/>
              </w:rPr>
              <w:t>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w:t>
            </w:r>
            <w:r>
              <w:rPr>
                <w:rFonts w:hint="default" w:ascii="Times New Roman" w:hAnsi="Times New Roman" w:eastAsia="宋体" w:cs="Times New Roman"/>
                <w:color w:val="auto"/>
                <w:kern w:val="0"/>
                <w:szCs w:val="21"/>
                <w:lang w:val="en-US" w:eastAsia="zh-CN"/>
              </w:rPr>
              <w:t>技术性能、制造水平及产品特点：2</w:t>
            </w:r>
            <w:r>
              <w:rPr>
                <w:rFonts w:hint="eastAsia" w:ascii="Times New Roman" w:hAnsi="Times New Roman" w:eastAsia="宋体" w:cs="Times New Roman"/>
                <w:color w:val="auto"/>
                <w:kern w:val="0"/>
                <w:szCs w:val="21"/>
                <w:lang w:val="en-US" w:eastAsia="zh-CN"/>
              </w:rPr>
              <w:t>0</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w:t>
            </w:r>
            <w:r>
              <w:rPr>
                <w:rFonts w:hint="default" w:ascii="Times New Roman" w:hAnsi="Times New Roman" w:eastAsia="宋体" w:cs="Times New Roman"/>
                <w:color w:val="auto"/>
                <w:kern w:val="0"/>
                <w:szCs w:val="21"/>
                <w:lang w:val="en-US" w:eastAsia="zh-CN"/>
              </w:rPr>
              <w:t>备件和材料满足招标文件要求的程度：1</w:t>
            </w:r>
            <w:r>
              <w:rPr>
                <w:rFonts w:hint="eastAsia" w:ascii="Times New Roman" w:hAnsi="Times New Roman" w:eastAsia="宋体" w:cs="Times New Roman"/>
                <w:color w:val="auto"/>
                <w:kern w:val="0"/>
                <w:szCs w:val="21"/>
                <w:lang w:val="en-US" w:eastAsia="zh-CN"/>
              </w:rPr>
              <w:t>5</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w:t>
            </w:r>
            <w:r>
              <w:rPr>
                <w:rFonts w:hint="default" w:ascii="Times New Roman" w:hAnsi="Times New Roman" w:eastAsia="宋体" w:cs="Times New Roman"/>
                <w:color w:val="auto"/>
                <w:kern w:val="0"/>
                <w:szCs w:val="21"/>
                <w:lang w:val="en-US" w:eastAsia="zh-CN"/>
              </w:rPr>
              <w:t>不满足备件规格及技术要求的，按废标处理。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①相关行业类似业绩3分：1分/份合同（以投标人合同复印件为准），封顶3分；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②质保期2分：质保期最长的为满分2分，其它的按比例得分。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28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35"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宋体" w:hAnsi="宋体" w:eastAsia="宋体" w:cs="宋体"/>
                <w:color w:val="auto"/>
                <w:kern w:val="0"/>
                <w:szCs w:val="21"/>
                <w:lang w:val="en-US" w:eastAsia="zh-CN"/>
              </w:rPr>
              <w:t>/</w:t>
            </w:r>
          </w:p>
        </w:tc>
        <w:tc>
          <w:tcPr>
            <w:tcW w:w="6246"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付款方式不得偏离，否则投标将被否决。</w:t>
            </w:r>
          </w:p>
        </w:tc>
      </w:tr>
    </w:tbl>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color w:val="auto"/>
          <w:sz w:val="24"/>
          <w:szCs w:val="24"/>
          <w:lang w:val="en-US" w:eastAsia="zh-CN"/>
        </w:rPr>
        <w:t>5</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6</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10</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11.2.3网络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4000元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已结未付</w:t>
      </w:r>
      <w:r>
        <w:rPr>
          <w:rFonts w:ascii="Times New Roman" w:hAnsi="Times New Roman" w:eastAsia="宋体"/>
          <w:color w:val="auto"/>
          <w:sz w:val="24"/>
          <w:szCs w:val="24"/>
        </w:rPr>
        <w:t>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12.2.3银行保函：以银行保函的形式提交投标保证金。银行保函单独密封装订。</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13.1.1投标保证金凭证：银行电汇回单或投标保证金函或银行保函。</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技术方案（如第1</w:t>
      </w:r>
      <w:r>
        <w:rPr>
          <w:rFonts w:hint="eastAsia" w:ascii="Times New Roman" w:hAnsi="Times New Roman" w:eastAsia="宋体"/>
          <w:color w:val="auto"/>
          <w:sz w:val="24"/>
          <w:szCs w:val="24"/>
          <w:lang w:val="en-US" w:eastAsia="zh-CN"/>
        </w:rPr>
        <w:t>0</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条技术评审打分项的响应材料）</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16.</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技术联系人：黄海龙15859854798（浆粕分厂）</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商务联系人：柳工0598-5658513</w:t>
      </w:r>
      <w:r>
        <w:rPr>
          <w:rFonts w:hint="eastAsia" w:ascii="Times New Roman" w:hAnsi="Times New Roman" w:eastAsia="宋体"/>
          <w:color w:val="auto"/>
          <w:sz w:val="24"/>
          <w:szCs w:val="24"/>
          <w:lang w:eastAsia="zh-CN"/>
        </w:rPr>
        <w:t>（设备部）</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1：图纸【注：有意向参与投标的单位，可联系招标办获取】</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2：声明函（格式）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color w:val="auto"/>
          <w:sz w:val="24"/>
          <w:szCs w:val="24"/>
          <w:lang w:val="en-US" w:eastAsia="zh-CN"/>
        </w:rPr>
        <w:t>4</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25</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bookmarkStart w:id="0" w:name="_GoBack"/>
      <w:bookmarkEnd w:id="0"/>
    </w:p>
    <w:p>
      <w:pPr>
        <w:keepNext w:val="0"/>
        <w:keepLines w:val="0"/>
        <w:pageBreakBefore w:val="0"/>
        <w:widowControl w:val="0"/>
        <w:kinsoku/>
        <w:overflowPunct/>
        <w:topLinePunct w:val="0"/>
        <w:autoSpaceDE/>
        <w:autoSpaceDN/>
        <w:bidi w:val="0"/>
        <w:adjustRightInd/>
        <w:snapToGrid/>
        <w:spacing w:line="410" w:lineRule="exact"/>
        <w:textAlignment w:val="auto"/>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bCs/>
          <w:color w:val="auto"/>
          <w:sz w:val="24"/>
          <w:szCs w:val="24"/>
          <w:lang w:eastAsia="zh-CN"/>
        </w:rPr>
        <w:t>附件</w:t>
      </w:r>
      <w:r>
        <w:rPr>
          <w:rFonts w:hint="eastAsia" w:ascii="Times New Roman" w:hAnsi="Times New Roman" w:eastAsia="宋体"/>
          <w:bCs/>
          <w:color w:val="auto"/>
          <w:sz w:val="24"/>
          <w:szCs w:val="24"/>
          <w:lang w:val="en-US" w:eastAsia="zh-CN"/>
        </w:rPr>
        <w:t>2：声明函</w:t>
      </w:r>
      <w:r>
        <w:rPr>
          <w:rFonts w:hint="eastAsia" w:ascii="Times New Roman" w:hAnsi="Times New Roman" w:eastAsia="宋体" w:cs="Times New Roman"/>
          <w:bCs/>
          <w:color w:val="auto"/>
          <w:sz w:val="24"/>
          <w:szCs w:val="24"/>
          <w:lang w:val="en-US" w:eastAsia="zh-CN"/>
        </w:rPr>
        <w:t>（格式）</w:t>
      </w:r>
    </w:p>
    <w:p>
      <w:pPr>
        <w:rPr>
          <w:rFonts w:hint="eastAsia" w:ascii="Times New Roman" w:hAnsi="Times New Roman" w:eastAsia="宋体" w:cs="Times New Roman"/>
          <w:bCs/>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jc w:val="center"/>
        <w:textAlignment w:val="auto"/>
        <w:outlineLvl w:val="9"/>
        <w:rPr>
          <w:rFonts w:hint="eastAsia" w:ascii="Times New Roman" w:hAnsi="Times New Roman" w:eastAsia="宋体"/>
          <w:color w:val="auto"/>
          <w:spacing w:val="20"/>
          <w:sz w:val="28"/>
          <w:szCs w:val="28"/>
          <w:lang w:val="en-US" w:eastAsia="zh-CN"/>
        </w:rPr>
      </w:pPr>
      <w:r>
        <w:rPr>
          <w:rFonts w:hint="eastAsia" w:ascii="Times New Roman" w:hAnsi="Times New Roman" w:eastAsia="宋体"/>
          <w:b/>
          <w:bCs/>
          <w:color w:val="auto"/>
          <w:spacing w:val="20"/>
          <w:sz w:val="28"/>
          <w:szCs w:val="28"/>
          <w:lang w:val="en-US" w:eastAsia="zh-CN"/>
        </w:rPr>
        <w:t>声明函</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福建省青山纸业股份有限公司</w:t>
      </w:r>
      <w:r>
        <w:rPr>
          <w:rFonts w:hint="eastAsia" w:ascii="Times New Roman" w:hAnsi="Times New Roman" w:eastAsia="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我方具备履行合同所必需的设备和专业技术能力，能够按照要求提供相应设备及服务</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否则产生不利后果由我方承担责任。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特此声明。</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ascii="Times New Roman" w:hAnsi="Times New Roman" w:eastAsia="宋体"/>
          <w:bCs/>
          <w:color w:val="auto"/>
          <w:sz w:val="24"/>
          <w:szCs w:val="24"/>
          <w:lang w:val="en-US" w:eastAsia="zh-CN"/>
        </w:rPr>
      </w:pPr>
      <w:r>
        <w:rPr>
          <w:rFonts w:hint="eastAsia" w:ascii="Times New Roman" w:hAnsi="Times New Roman"/>
          <w:color w:val="auto"/>
          <w:sz w:val="24"/>
          <w:szCs w:val="24"/>
          <w:lang w:eastAsia="zh-CN"/>
        </w:rPr>
        <w:t>（注：若有证明材料，附后。）</w:t>
      </w: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3</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3SB080C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72B6407"/>
    <w:rsid w:val="07BD629E"/>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6880B6E"/>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90263A"/>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10454C"/>
    <w:rsid w:val="48571F9B"/>
    <w:rsid w:val="485A1FE6"/>
    <w:rsid w:val="494848CE"/>
    <w:rsid w:val="4ACF470A"/>
    <w:rsid w:val="50635474"/>
    <w:rsid w:val="510D00AA"/>
    <w:rsid w:val="53B91808"/>
    <w:rsid w:val="55867334"/>
    <w:rsid w:val="558B152B"/>
    <w:rsid w:val="55912732"/>
    <w:rsid w:val="574E15B7"/>
    <w:rsid w:val="5D23354B"/>
    <w:rsid w:val="5D785372"/>
    <w:rsid w:val="5DAE499A"/>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1FA0AA6"/>
    <w:rsid w:val="73C26E33"/>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2023-04-25T01:11:03Z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