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：浆粕分厂干燥加热器</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91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4136"/>
        <w:gridCol w:w="1408"/>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物资名称</w:t>
            </w:r>
          </w:p>
        </w:tc>
        <w:tc>
          <w:tcPr>
            <w:tcW w:w="4136"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规格型号</w:t>
            </w:r>
          </w:p>
        </w:tc>
        <w:tc>
          <w:tcPr>
            <w:tcW w:w="14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材质</w:t>
            </w:r>
          </w:p>
        </w:tc>
        <w:tc>
          <w:tcPr>
            <w:tcW w:w="140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干燥加热器（大）</w:t>
            </w:r>
          </w:p>
        </w:tc>
        <w:tc>
          <w:tcPr>
            <w:tcW w:w="4136"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lang w:val="en-US" w:eastAsia="zh-CN"/>
              </w:rPr>
              <w:t>按图制作【图号：QLBF-260-120，外形尺寸：2930x1320x170，详见附件1】</w:t>
            </w:r>
          </w:p>
        </w:tc>
        <w:tc>
          <w:tcPr>
            <w:tcW w:w="14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140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210" w:firstLineChars="10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10件</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2.2.1散热器管、蒸汽出口管材料为紫铜，牌号T2且散热管外套上铝片（散热片：厚0.25，间隔1.5）以增大散热面积；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2.2.2最大工作压力1.6Mpa 、最大工作温度225℃ 、试验压力2.1Mpa 、 体积0.036m³、重量246kg；</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2.2.3支架周边固定及加强筋（钢板厚度2mm，镀锌）由厂家设定。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2.2.4外形图中的有注明“加装碳钢法兰DN40 PN16，法兰尺寸规格参照JB/T81-1994，特别是螺栓中心圆ø110及螺栓孔4-ø18安装尺寸不能改变”，需严格按图制作。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2.2.5中标方交货时要出具紫铜产品质量证明书及加热器产品检验报告。</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2.2.6备件保证尺寸上百分百无误差安装，材质完全满足现场使用。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3.1交货时间：投标时须注明最短交货期。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5.1中标方负责备件的运输，凡备件到招标方之前所产生的费用及意外损失由中标方负责承担。</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5.4中标并签订合同后，</w:t>
      </w:r>
      <w:r>
        <w:rPr>
          <w:rFonts w:hint="eastAsia" w:ascii="Times New Roman" w:hAnsi="Times New Roman" w:eastAsia="宋体"/>
          <w:b w:val="0"/>
          <w:bCs w:val="0"/>
          <w:color w:val="auto"/>
          <w:sz w:val="24"/>
          <w:szCs w:val="24"/>
          <w:lang w:val="en-US" w:eastAsia="zh-CN"/>
        </w:rPr>
        <w:t>中标方</w:t>
      </w:r>
      <w:r>
        <w:rPr>
          <w:rFonts w:hint="default" w:ascii="Times New Roman" w:hAnsi="Times New Roman" w:eastAsia="宋体"/>
          <w:b w:val="0"/>
          <w:bCs w:val="0"/>
          <w:color w:val="auto"/>
          <w:sz w:val="24"/>
          <w:szCs w:val="24"/>
          <w:lang w:val="en-US" w:eastAsia="zh-CN"/>
        </w:rPr>
        <w:t>不能按时履约必须支付违约金为合同总额的10%，其余按《招投标法》、《中华人民共和国民法典》等相关法律法规执行。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：备件按图、按企业标准和中国国家标准进行验收。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r>
        <w:rPr>
          <w:rFonts w:hint="eastAsia" w:ascii="Times New Roman" w:hAnsi="Times New Roman" w:eastAsia="宋体"/>
          <w:b/>
          <w:bCs w:val="0"/>
          <w:color w:val="auto"/>
          <w:sz w:val="24"/>
          <w:szCs w:val="24"/>
          <w:lang w:eastAsia="zh-CN"/>
        </w:rPr>
        <w:t>本付款方式不得偏离，否则投标将被否决</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2报价为含13%增值税到厂价格，以一票制方式结算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4000元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技术联系人：黄海龙15859854798（浆粕分厂）</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1：图纸【注：有意向参与投标的单位，可联系招标办获取】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2：声明函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3SB080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7BD629E"/>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8B152B"/>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2023-04-14T08:04:21Z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