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：板纸3号机复卷减速箱输出花键轴采购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招标内容</w:t>
      </w:r>
    </w:p>
    <w:tbl>
      <w:tblPr>
        <w:tblStyle w:val="12"/>
        <w:tblW w:w="9104" w:type="dxa"/>
        <w:jc w:val="center"/>
        <w:tblInd w:w="-5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3"/>
        <w:gridCol w:w="3680"/>
        <w:gridCol w:w="1590"/>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3"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物资名称</w:t>
            </w:r>
          </w:p>
        </w:tc>
        <w:tc>
          <w:tcPr>
            <w:tcW w:w="368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规格型号</w:t>
            </w:r>
          </w:p>
        </w:tc>
        <w:tc>
          <w:tcPr>
            <w:tcW w:w="159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材质</w:t>
            </w:r>
          </w:p>
        </w:tc>
        <w:tc>
          <w:tcPr>
            <w:tcW w:w="1111"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3"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FFFFFF"/>
              </w:rPr>
              <w:t>输出花键轴</w:t>
            </w:r>
          </w:p>
        </w:tc>
        <w:tc>
          <w:tcPr>
            <w:tcW w:w="368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FFFFFF"/>
                <w:lang w:eastAsia="zh-CN"/>
              </w:rPr>
              <w:t>减速箱型号：</w:t>
            </w:r>
            <w:r>
              <w:rPr>
                <w:rFonts w:hint="eastAsia" w:ascii="Times New Roman" w:hAnsi="Times New Roman" w:eastAsia="宋体" w:cs="宋体"/>
                <w:i w:val="0"/>
                <w:iCs w:val="0"/>
                <w:caps w:val="0"/>
                <w:color w:val="000000"/>
                <w:spacing w:val="0"/>
                <w:sz w:val="21"/>
                <w:szCs w:val="21"/>
                <w:shd w:val="clear" w:color="auto" w:fill="FFFFFF"/>
              </w:rPr>
              <w:t>H1 SH 11A</w:t>
            </w:r>
          </w:p>
        </w:tc>
        <w:tc>
          <w:tcPr>
            <w:tcW w:w="159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1111"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210" w:firstLineChars="10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1根</w:t>
            </w:r>
          </w:p>
        </w:tc>
      </w:tr>
    </w:tbl>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技术质量要求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3.1原减速箱相关参数：</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减速箱型号：H1 SH 11A；P=550KW；n1=1000r/min；n2=403.23r/min；出厂序列号：4208223-0020-001。</w:t>
      </w:r>
      <w:bookmarkStart w:id="0" w:name="_GoBack"/>
      <w:bookmarkEnd w:id="0"/>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3.2原减速箱品牌：FLENDER。</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3.3投标方提供的减速箱输出花键轴必须保证能与青山纸业现有减速箱型号：H1 SH 11A相互换使用。减速箱输出花键轴保证尺寸上百分百无误差安装，满足现场安装及使用要求，不得改变原有的减速箱输出花键轴形式。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3.4非原厂家配件投标方必须到现场进行测绘，必须测出原输出轴的尺寸、钢号及硬度精度，投标时需注明减速箱花键轴选用材质，能达到的硬度精度，推荐硬度HRC58-63（以实际检测为准）。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3.5本招标文件中提及的品牌为参考品牌。投标人可以直接选用参考品牌，也可以自行另选品牌，但所选的品牌品质（品牌知名度、技术标准和质量等级）应当相当于或不低于参考品牌，否则，其投标将被拒绝。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.4按《招投标法》、《中华人民共和国民法典》等相关法律法规执行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7.1</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.2质量保证期内非招标方原因引起的质量问题，中标方负责无偿返修，中标方未在招标方规定的时间内返修，招标方有权选择其它供应商进行返修，返修费用由中标方承担。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：不支付预付款，验收合格后，招标人财务部收到全额</w:t>
      </w:r>
      <w:r>
        <w:rPr>
          <w:rFonts w:hint="eastAsia" w:ascii="Times New Roman" w:hAnsi="Times New Roman" w:eastAsia="宋体"/>
          <w:b w:val="0"/>
          <w:bCs/>
          <w:color w:val="auto"/>
          <w:sz w:val="24"/>
          <w:szCs w:val="24"/>
          <w:lang w:val="en-US" w:eastAsia="zh-CN"/>
        </w:rPr>
        <w:t>13%</w:t>
      </w:r>
      <w:r>
        <w:rPr>
          <w:rFonts w:hint="eastAsia" w:ascii="Times New Roman" w:hAnsi="Times New Roman" w:eastAsia="宋体"/>
          <w:b w:val="0"/>
          <w:bCs/>
          <w:color w:val="auto"/>
          <w:sz w:val="24"/>
          <w:szCs w:val="24"/>
          <w:lang w:eastAsia="zh-CN"/>
        </w:rPr>
        <w:t>增值税专用发票45天支付总合同价的90%（银行承兑汇票）；质保金为总合同价的10%，在质保期满后三十天内付清，质保金不计利息。</w:t>
      </w:r>
      <w:r>
        <w:rPr>
          <w:rFonts w:hint="eastAsia" w:ascii="Times New Roman" w:hAnsi="Times New Roman" w:eastAsia="宋体"/>
          <w:b/>
          <w:bCs w:val="0"/>
          <w:color w:val="auto"/>
          <w:sz w:val="24"/>
          <w:szCs w:val="24"/>
          <w:lang w:eastAsia="zh-CN"/>
        </w:rPr>
        <w:t>【付款方式不得偏离，否则投标将被否决】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②备件和材料满足招标文件要求的程度：15分；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宋体" w:hAnsi="宋体" w:eastAsia="宋体" w:cs="宋体"/>
                <w:b/>
                <w:i w:val="0"/>
                <w:caps w:val="0"/>
                <w:color w:val="000000"/>
                <w:spacing w:val="0"/>
                <w:sz w:val="21"/>
                <w:szCs w:val="21"/>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2000元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应结未付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技术联系人：林宇宁18750855309（板纸3号机）</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附件1：声明函（格式）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30</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1：声明函（格式）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3SB068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2023-03-30T08:23:13Z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